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429" w:lineRule="atLeast"/>
        <w:ind/>
        <w:rPr>
          <w:rFonts w:ascii="Helvetica" w:hAnsi="Helvetica"/>
          <w:color w:val="000000"/>
          <w:sz w:val="33"/>
        </w:rPr>
      </w:pPr>
      <w:r>
        <w:rPr>
          <w:rFonts w:ascii="Helvetica" w:hAnsi="Helvetica"/>
          <w:color w:val="000000"/>
          <w:sz w:val="33"/>
        </w:rPr>
        <w:t>В соответствии со статьей 39.42 Земельного кодекса Российской Федерации Красногорская городская администрация Звениговского муниципального района Республики Марий Эл</w:t>
      </w:r>
      <w:r>
        <w:rPr>
          <w:rFonts w:ascii="Helvetica" w:hAnsi="Helvetica"/>
          <w:color w:val="000000"/>
          <w:sz w:val="33"/>
        </w:rPr>
        <w:t xml:space="preserve"> информирует о возможном установлении публичного сервитута</w:t>
      </w:r>
    </w:p>
    <w:p w14:paraId="02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использования земельных участков и (или) земель в целях размещения следующих линейных объе</w:t>
      </w:r>
      <w:r>
        <w:rPr>
          <w:rFonts w:ascii="Times New Roman" w:hAnsi="Times New Roman"/>
          <w:color w:val="000000"/>
          <w:sz w:val="28"/>
        </w:rPr>
        <w:t>ктов системы газоснабжения, их технологических частей, являющихся объектами местного значения:</w:t>
      </w:r>
    </w:p>
    <w:p w14:paraId="03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высокого давления к ШРП ул. Мичурина д.70», кадастровый номер 12:14:0000000:8603, протяженность – 250 м.</w:t>
      </w:r>
    </w:p>
    <w:p w14:paraId="04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к жилому дому  ул. Мичурина, д.12А (Дом оператора)», кадастровый номер 12:14:0901004:183, протяженность – 105 м.</w:t>
      </w:r>
    </w:p>
    <w:p w14:paraId="05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по газоснабжению жилых домов ул. Полевая  с. Кожласола», кадастровый номер 12:14:3501002:745, протяженность – 377 м.</w:t>
      </w:r>
    </w:p>
    <w:p w14:paraId="06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низкого давления к МКЖД ул. Центральная, д.43-А»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кадастровый номер 12:14:0000000:8605, протяженность – 97 м.</w:t>
      </w:r>
    </w:p>
    <w:p w14:paraId="07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Публичный сервитут испрашивается в отношении земельных участков, расположенных:</w:t>
      </w:r>
    </w:p>
    <w:p w14:paraId="0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с кадастровыми номерами 12:14:0000000:7834, 12:14:3701003, 12:14:3701003:7, </w:t>
      </w:r>
      <w:r>
        <w:rPr>
          <w:rFonts w:ascii="Times New Roman" w:hAnsi="Times New Roman"/>
          <w:color w:val="000000"/>
          <w:sz w:val="28"/>
        </w:rPr>
        <w:t xml:space="preserve">12:14:3701003:62, </w:t>
      </w:r>
      <w:r>
        <w:rPr>
          <w:rFonts w:ascii="Times New Roman" w:hAnsi="Times New Roman"/>
          <w:color w:val="000000"/>
          <w:sz w:val="28"/>
        </w:rPr>
        <w:t xml:space="preserve">12:14:0000000:7842. </w:t>
      </w:r>
    </w:p>
    <w:p w14:paraId="09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</w:t>
      </w:r>
      <w:r>
        <w:rPr>
          <w:rFonts w:ascii="Times New Roman" w:hAnsi="Times New Roman"/>
          <w:color w:val="000000"/>
          <w:sz w:val="28"/>
        </w:rPr>
        <w:t xml:space="preserve"> с кадастровыми номерами 12:14:3501002, </w:t>
      </w:r>
      <w:r>
        <w:rPr>
          <w:rFonts w:ascii="Times New Roman" w:hAnsi="Times New Roman"/>
          <w:color w:val="000000"/>
          <w:sz w:val="28"/>
        </w:rPr>
        <w:t xml:space="preserve">12:14:3501002:72, </w:t>
      </w:r>
      <w:r>
        <w:rPr>
          <w:rFonts w:ascii="Times New Roman" w:hAnsi="Times New Roman"/>
          <w:color w:val="000000"/>
          <w:sz w:val="28"/>
        </w:rPr>
        <w:t xml:space="preserve">12:14:3501002:7, </w:t>
      </w:r>
      <w:r>
        <w:rPr>
          <w:rFonts w:ascii="Times New Roman" w:hAnsi="Times New Roman"/>
          <w:color w:val="000000"/>
          <w:sz w:val="28"/>
        </w:rPr>
        <w:t xml:space="preserve">12:14:3501002:8, </w:t>
      </w:r>
      <w:r>
        <w:rPr>
          <w:rFonts w:ascii="Times New Roman" w:hAnsi="Times New Roman"/>
          <w:color w:val="000000"/>
          <w:sz w:val="28"/>
        </w:rPr>
        <w:t xml:space="preserve">12:14:3501002:12, </w:t>
      </w:r>
      <w:r>
        <w:rPr>
          <w:rFonts w:ascii="Times New Roman" w:hAnsi="Times New Roman"/>
          <w:color w:val="000000"/>
          <w:sz w:val="28"/>
        </w:rPr>
        <w:t>12:14:3501002:42,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12:14:3501002:38.</w:t>
      </w:r>
    </w:p>
    <w:p w14:paraId="0A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с кадастровыми номерами 12:14:0000000:566, 12:14:0000000:7496, 12:14:2801001:351, </w:t>
      </w:r>
      <w:r>
        <w:rPr>
          <w:rFonts w:ascii="Times New Roman" w:hAnsi="Times New Roman"/>
          <w:color w:val="000000"/>
          <w:sz w:val="28"/>
        </w:rPr>
        <w:t xml:space="preserve">12:14:2801001:317, </w:t>
      </w:r>
      <w:r>
        <w:rPr>
          <w:rFonts w:ascii="Times New Roman" w:hAnsi="Times New Roman"/>
          <w:color w:val="000000"/>
          <w:sz w:val="28"/>
        </w:rPr>
        <w:t xml:space="preserve">12:14:2801001, 12:14:0903001. </w:t>
      </w:r>
    </w:p>
    <w:p w14:paraId="0B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с кадастровыми номерами ЕЗ12:14:0000000:75 (обособленный ЗУ 12:14:0901004:59)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C000000">
      <w:pPr>
        <w:pStyle w:val="Style_2"/>
        <w:spacing w:after="288" w:before="14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Правила землепользования и застройки городского поселения Красногорский Звениговского муниципального района Республики Марий Эл утверждены </w:t>
      </w:r>
      <w:r>
        <w:rPr>
          <w:rFonts w:ascii="Times New Roman" w:hAnsi="Times New Roman"/>
          <w:sz w:val="28"/>
        </w:rPr>
        <w:t>решением Собрания депутатов муниципального образования «Городское поселение Красногорский» 20.03.2013 г. №230 (</w:t>
      </w:r>
      <w:r>
        <w:rPr>
          <w:rFonts w:ascii="Times New Roman" w:hAnsi="Times New Roman"/>
          <w:sz w:val="28"/>
        </w:rPr>
        <w:t xml:space="preserve">с изменениями в редакции решения </w:t>
      </w:r>
      <w:r>
        <w:rPr>
          <w:rFonts w:ascii="Times New Roman" w:hAnsi="Times New Roman"/>
          <w:sz w:val="28"/>
        </w:rPr>
        <w:t>Собрания депутатов муниципального образования «Городское поселение Красногорский»</w:t>
      </w:r>
      <w:r>
        <w:rPr>
          <w:rFonts w:ascii="Times New Roman" w:hAnsi="Times New Roman"/>
          <w:sz w:val="28"/>
        </w:rPr>
        <w:t xml:space="preserve"> от  17.05.2017 г. № 185,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Собрания депутато</w:t>
      </w:r>
      <w:r>
        <w:rPr>
          <w:rFonts w:ascii="Times New Roman" w:hAnsi="Times New Roman"/>
          <w:sz w:val="28"/>
        </w:rPr>
        <w:t xml:space="preserve">в городского поселения Красногорский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26.03.2020 г. №42, </w:t>
      </w:r>
      <w:r>
        <w:rPr>
          <w:rFonts w:ascii="Times New Roman" w:hAnsi="Times New Roman"/>
          <w:sz w:val="28"/>
        </w:rPr>
        <w:t>от  26.11.2020 г. № 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№ 162 от 13.10.2022г.</w:t>
      </w:r>
      <w:r>
        <w:rPr>
          <w:rFonts w:ascii="Times New Roman" w:hAnsi="Times New Roman"/>
          <w:sz w:val="28"/>
        </w:rPr>
        <w:t>)</w:t>
      </w:r>
    </w:p>
    <w:p w14:paraId="0D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Ознакомиться с поступившим ходатайством об установлении публичного сервитута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прилагаемым к нему описанием местоположения границ публичного сервитута</w:t>
      </w:r>
      <w:r>
        <w:rPr>
          <w:rFonts w:ascii="Times New Roman" w:hAnsi="Times New Roman"/>
          <w:color w:val="000000"/>
          <w:sz w:val="28"/>
        </w:rPr>
        <w:t xml:space="preserve"> , подать заявления об учете прав на земельные участки можно в Красногорскую городскую администрацию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</w:rPr>
        <w:t xml:space="preserve"> по рабочим дням с 08 часов 00 минут до 17 часов 00 минут по адресу: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ул. Госпитальная, д. 4а, </w:t>
      </w:r>
      <w:r>
        <w:rPr>
          <w:rFonts w:ascii="Times New Roman" w:hAnsi="Times New Roman"/>
          <w:color w:val="000000"/>
          <w:sz w:val="28"/>
        </w:rPr>
        <w:t>каб</w:t>
      </w:r>
      <w:r>
        <w:rPr>
          <w:rFonts w:ascii="Times New Roman" w:hAnsi="Times New Roman"/>
          <w:color w:val="000000"/>
          <w:sz w:val="28"/>
        </w:rPr>
        <w:t xml:space="preserve">. 6, телефон (83645) 7-99-44. Дата окончания приема заявлений – 12 апреля 2024 год. Официальный сайт в информационно-телекоммуникационной сети «Интернет», на котором размещается сообщение о поступившем </w:t>
      </w:r>
      <w:r>
        <w:rPr>
          <w:rFonts w:ascii="Times New Roman" w:hAnsi="Times New Roman"/>
          <w:color w:val="000000"/>
          <w:sz w:val="28"/>
        </w:rPr>
        <w:t>ходатайстве</w:t>
      </w:r>
      <w:r>
        <w:rPr>
          <w:rFonts w:ascii="Times New Roman" w:hAnsi="Times New Roman"/>
          <w:color w:val="000000"/>
          <w:sz w:val="28"/>
        </w:rPr>
        <w:t xml:space="preserve"> об устранении публичного сервитута, описание местоположения границ публичного сервитута, Правила землепользования и застройки - </w:t>
      </w:r>
      <w:r>
        <w:rPr>
          <w:rStyle w:val="Style_3_ch"/>
          <w:rFonts w:ascii="Times New Roman" w:hAnsi="Times New Roman"/>
          <w:color w:val="023EB1"/>
          <w:sz w:val="28"/>
        </w:rPr>
        <w:fldChar w:fldCharType="begin"/>
      </w:r>
      <w:r>
        <w:rPr>
          <w:rStyle w:val="Style_3_ch"/>
          <w:rFonts w:ascii="Times New Roman" w:hAnsi="Times New Roman"/>
          <w:color w:val="023EB1"/>
          <w:sz w:val="28"/>
        </w:rPr>
        <w:instrText>HYPERLINK "http://www.admzven.ru/"</w:instrText>
      </w:r>
      <w:r>
        <w:rPr>
          <w:rStyle w:val="Style_3_ch"/>
          <w:rFonts w:ascii="Times New Roman" w:hAnsi="Times New Roman"/>
          <w:color w:val="023EB1"/>
          <w:sz w:val="28"/>
        </w:rPr>
        <w:fldChar w:fldCharType="separate"/>
      </w:r>
      <w:r>
        <w:rPr>
          <w:rStyle w:val="Style_3_ch"/>
          <w:rFonts w:ascii="Times New Roman" w:hAnsi="Times New Roman"/>
          <w:color w:val="023EB1"/>
          <w:sz w:val="28"/>
        </w:rPr>
        <w:t>www.admzven.ru</w:t>
      </w:r>
      <w:r>
        <w:rPr>
          <w:rStyle w:val="Style_3_ch"/>
          <w:rFonts w:ascii="Times New Roman" w:hAnsi="Times New Roman"/>
          <w:color w:val="023EB1"/>
          <w:sz w:val="28"/>
        </w:rPr>
        <w:fldChar w:fldCharType="end"/>
      </w:r>
    </w:p>
    <w:p w14:paraId="0F000000">
      <w:pPr>
        <w:pStyle w:val="Style_2"/>
        <w:spacing w:after="288" w:before="144"/>
        <w:ind/>
        <w:rPr>
          <w:rFonts w:ascii="Times New Roman" w:hAnsi="Times New Roman"/>
          <w:color w:val="000000"/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>28.03.2024г.</w:t>
      </w:r>
    </w:p>
    <w:p w14:paraId="1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  <w:rPr>
      <w:rFonts w:ascii="Arial Unicode MS" w:hAnsi="Arial Unicode MS"/>
    </w:rPr>
  </w:style>
  <w:style w:styleId="Style_2_ch" w:type="character">
    <w:name w:val="Normal (Web)"/>
    <w:basedOn w:val="Style_4_ch"/>
    <w:link w:val="Style_2"/>
    <w:rPr>
      <w:rFonts w:ascii="Arial Unicode MS" w:hAnsi="Arial Unicode MS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s_1"/>
    <w:basedOn w:val="Style_4"/>
    <w:link w:val="Style_11_ch"/>
    <w:pPr>
      <w:spacing w:afterAutospacing="on" w:beforeAutospacing="on"/>
      <w:ind/>
    </w:pPr>
  </w:style>
  <w:style w:styleId="Style_11_ch" w:type="character">
    <w:name w:val="s_1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s_3"/>
    <w:basedOn w:val="Style_4"/>
    <w:link w:val="Style_13_ch"/>
    <w:pPr>
      <w:spacing w:afterAutospacing="on" w:beforeAutospacing="on"/>
      <w:ind/>
    </w:pPr>
  </w:style>
  <w:style w:styleId="Style_13_ch" w:type="character">
    <w:name w:val="s_3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PlusTitle"/>
    <w:link w:val="Style_15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5_ch" w:type="character">
    <w:name w:val="ConsPlusTitle"/>
    <w:link w:val="Style_15"/>
    <w:rPr>
      <w:rFonts w:ascii="Arial" w:hAnsi="Arial"/>
      <w:b w:val="1"/>
      <w:sz w:val="20"/>
    </w:rPr>
  </w:style>
  <w:style w:styleId="Style_16" w:type="paragraph">
    <w:name w:val="heading 1"/>
    <w:basedOn w:val="Style_4"/>
    <w:link w:val="Style_16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6_ch" w:type="character">
    <w:name w:val="heading 1"/>
    <w:basedOn w:val="Style_4_ch"/>
    <w:link w:val="Style_16"/>
    <w:rPr>
      <w:b w:val="1"/>
      <w:sz w:val="48"/>
    </w:rPr>
  </w:style>
  <w:style w:styleId="Style_3" w:type="paragraph">
    <w:name w:val="Hyperlink"/>
    <w:basedOn w:val="Style_17"/>
    <w:link w:val="Style_3_ch"/>
    <w:rPr>
      <w:color w:val="0000FF"/>
      <w:u w:val="single"/>
    </w:rPr>
  </w:style>
  <w:style w:styleId="Style_3_ch" w:type="character">
    <w:name w:val="Hyperlink"/>
    <w:basedOn w:val="Style_17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Strong"/>
    <w:basedOn w:val="Style_17"/>
    <w:link w:val="Style_22_ch"/>
    <w:rPr>
      <w:b w:val="1"/>
    </w:rPr>
  </w:style>
  <w:style w:styleId="Style_22_ch" w:type="character">
    <w:name w:val="Strong"/>
    <w:basedOn w:val="Style_17_ch"/>
    <w:link w:val="Style_22"/>
    <w:rPr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s_52"/>
    <w:basedOn w:val="Style_4"/>
    <w:link w:val="Style_28_ch"/>
    <w:pPr>
      <w:spacing w:afterAutospacing="on" w:beforeAutospacing="on"/>
      <w:ind/>
    </w:pPr>
  </w:style>
  <w:style w:styleId="Style_28_ch" w:type="character">
    <w:name w:val="s_52"/>
    <w:basedOn w:val="Style_4_ch"/>
    <w:link w:val="Style_28"/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4_ch"/>
    <w:link w:val="Style_29"/>
    <w:rPr>
      <w:b w:val="1"/>
    </w:rPr>
  </w:style>
  <w:style w:styleId="Style_30" w:type="paragraph">
    <w:name w:val="heading 4"/>
    <w:basedOn w:val="Style_4"/>
    <w:link w:val="Style_30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30_ch" w:type="character">
    <w:name w:val="heading 4"/>
    <w:basedOn w:val="Style_4_ch"/>
    <w:link w:val="Style_30"/>
    <w:rPr>
      <w:b w:val="1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_ch" w:type="character">
    <w:name w:val="heading 2"/>
    <w:basedOn w:val="Style_4_ch"/>
    <w:link w:val="Style_1"/>
    <w:rPr>
      <w:rFonts w:asciiTheme="majorAscii" w:hAnsiTheme="majorHAnsi"/>
      <w:b w:val="1"/>
      <w:color w:themeColor="accent1" w:val="4F81BD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2024-03-28T06:38:51Z</dcterms:modified>
</cp:coreProperties>
</file>