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B8" w:rsidRDefault="009F5CB8" w:rsidP="009F5CB8">
      <w:pPr>
        <w:jc w:val="center"/>
        <w:rPr>
          <w:sz w:val="28"/>
          <w:szCs w:val="28"/>
        </w:rPr>
      </w:pPr>
      <w:bookmarkStart w:id="0" w:name="_GoBack"/>
      <w:bookmarkEnd w:id="0"/>
      <w:r w:rsidRPr="00CD0E45">
        <w:rPr>
          <w:noProof/>
          <w:sz w:val="28"/>
          <w:szCs w:val="28"/>
        </w:rPr>
        <w:drawing>
          <wp:inline distT="0" distB="0" distL="0" distR="0">
            <wp:extent cx="712470" cy="829310"/>
            <wp:effectExtent l="0" t="0" r="0" b="0"/>
            <wp:docPr id="1" name="Рисунок 7" descr="логотип райо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логотип района"/>
                    <pic:cNvPicPr>
                      <a:picLocks/>
                    </pic:cNvPicPr>
                  </pic:nvPicPr>
                  <pic:blipFill>
                    <a:blip r:embed="rId4" cstate="print">
                      <a:lum contrast="6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470" cy="829310"/>
                    </a:xfrm>
                    <a:prstGeom prst="rect">
                      <a:avLst/>
                    </a:prstGeom>
                    <a:noFill/>
                    <a:ln>
                      <a:noFill/>
                    </a:ln>
                  </pic:spPr>
                </pic:pic>
              </a:graphicData>
            </a:graphic>
          </wp:inline>
        </w:drawing>
      </w:r>
    </w:p>
    <w:tbl>
      <w:tblPr>
        <w:tblW w:w="5000" w:type="pct"/>
        <w:tblBorders>
          <w:top w:val="single" w:sz="4" w:space="0" w:color="auto"/>
        </w:tblBorders>
        <w:tblLook w:val="04A0"/>
      </w:tblPr>
      <w:tblGrid>
        <w:gridCol w:w="4363"/>
        <w:gridCol w:w="601"/>
        <w:gridCol w:w="4607"/>
      </w:tblGrid>
      <w:tr w:rsidR="009F5CB8" w:rsidTr="00390E16">
        <w:tc>
          <w:tcPr>
            <w:tcW w:w="2279" w:type="pct"/>
            <w:tcBorders>
              <w:top w:val="nil"/>
              <w:left w:val="nil"/>
              <w:bottom w:val="nil"/>
              <w:right w:val="nil"/>
            </w:tcBorders>
            <w:vAlign w:val="center"/>
            <w:hideMark/>
          </w:tcPr>
          <w:p w:rsidR="009F5CB8" w:rsidRPr="00A629C5" w:rsidRDefault="009F5CB8" w:rsidP="00390E16">
            <w:pPr>
              <w:suppressAutoHyphens/>
              <w:ind w:firstLine="360"/>
              <w:jc w:val="center"/>
              <w:rPr>
                <w:b/>
                <w:bCs/>
                <w:spacing w:val="-10"/>
                <w:sz w:val="28"/>
                <w:szCs w:val="28"/>
                <w:lang w:eastAsia="ar-SA" w:bidi="en-US"/>
              </w:rPr>
            </w:pPr>
            <w:r>
              <w:rPr>
                <w:b/>
                <w:bCs/>
                <w:spacing w:val="-10"/>
                <w:sz w:val="28"/>
                <w:szCs w:val="28"/>
              </w:rPr>
              <w:t>ЗВЕНИГОВСКИЙ МУНИЦИПАЛЬНЫЙ РАЙОНЖЫН КУДЫМШО СОЗЫВ ДЕПУТАТ-ВЛАКЫН ПОГЫНЫМАШЫШТ</w:t>
            </w:r>
          </w:p>
        </w:tc>
        <w:tc>
          <w:tcPr>
            <w:tcW w:w="314" w:type="pct"/>
            <w:tcBorders>
              <w:top w:val="nil"/>
              <w:left w:val="nil"/>
              <w:bottom w:val="nil"/>
              <w:right w:val="nil"/>
            </w:tcBorders>
          </w:tcPr>
          <w:p w:rsidR="009F5CB8" w:rsidRPr="00A629C5" w:rsidRDefault="009F5CB8" w:rsidP="00390E16">
            <w:pPr>
              <w:suppressAutoHyphens/>
              <w:ind w:firstLine="360"/>
              <w:rPr>
                <w:b/>
                <w:sz w:val="28"/>
                <w:szCs w:val="28"/>
                <w:lang w:eastAsia="ar-SA" w:bidi="en-US"/>
              </w:rPr>
            </w:pPr>
          </w:p>
        </w:tc>
        <w:tc>
          <w:tcPr>
            <w:tcW w:w="2407" w:type="pct"/>
            <w:tcBorders>
              <w:top w:val="nil"/>
              <w:left w:val="nil"/>
              <w:bottom w:val="nil"/>
              <w:right w:val="nil"/>
            </w:tcBorders>
          </w:tcPr>
          <w:p w:rsidR="009F5CB8" w:rsidRDefault="009F5CB8" w:rsidP="00390E16">
            <w:pPr>
              <w:jc w:val="center"/>
              <w:rPr>
                <w:b/>
                <w:spacing w:val="-6"/>
                <w:sz w:val="28"/>
                <w:szCs w:val="28"/>
                <w:lang w:eastAsia="en-US"/>
              </w:rPr>
            </w:pPr>
            <w:r>
              <w:rPr>
                <w:b/>
                <w:sz w:val="28"/>
                <w:szCs w:val="28"/>
              </w:rPr>
              <w:t>СОБРАНИЕ ДЕПУТАТОВ ШЕСТОГО СОЗЫВА ЗВЕНИГОВСКОГО МУНИЦИПАЛЬНОГО РАЙОНА</w:t>
            </w:r>
          </w:p>
          <w:p w:rsidR="009F5CB8" w:rsidRPr="00A629C5" w:rsidRDefault="009F5CB8" w:rsidP="00390E16">
            <w:pPr>
              <w:suppressAutoHyphens/>
              <w:ind w:firstLine="360"/>
              <w:jc w:val="center"/>
              <w:rPr>
                <w:b/>
                <w:sz w:val="28"/>
                <w:szCs w:val="28"/>
                <w:lang w:eastAsia="ar-SA" w:bidi="en-US"/>
              </w:rPr>
            </w:pPr>
          </w:p>
        </w:tc>
      </w:tr>
    </w:tbl>
    <w:p w:rsidR="009F5CB8" w:rsidRPr="00A629C5" w:rsidRDefault="009F5CB8" w:rsidP="009F5CB8">
      <w:pPr>
        <w:jc w:val="center"/>
        <w:rPr>
          <w:b/>
          <w:sz w:val="28"/>
          <w:szCs w:val="28"/>
          <w:lang w:eastAsia="en-US" w:bidi="en-US"/>
        </w:rPr>
      </w:pPr>
    </w:p>
    <w:p w:rsidR="009F5CB8" w:rsidRDefault="009F5CB8" w:rsidP="009F5CB8">
      <w:pPr>
        <w:tabs>
          <w:tab w:val="left" w:pos="1532"/>
        </w:tabs>
        <w:jc w:val="center"/>
        <w:rPr>
          <w:b/>
          <w:sz w:val="28"/>
          <w:szCs w:val="28"/>
        </w:rPr>
      </w:pPr>
      <w:r>
        <w:rPr>
          <w:b/>
          <w:sz w:val="28"/>
          <w:szCs w:val="28"/>
        </w:rPr>
        <w:t xml:space="preserve">Сессия  47 – </w:t>
      </w:r>
      <w:proofErr w:type="spellStart"/>
      <w:r>
        <w:rPr>
          <w:b/>
          <w:sz w:val="28"/>
          <w:szCs w:val="28"/>
        </w:rPr>
        <w:t>ая</w:t>
      </w:r>
      <w:proofErr w:type="spellEnd"/>
      <w:r>
        <w:rPr>
          <w:b/>
          <w:sz w:val="28"/>
          <w:szCs w:val="28"/>
        </w:rPr>
        <w:t xml:space="preserve">                                                              29 августа 2019 года</w:t>
      </w:r>
    </w:p>
    <w:p w:rsidR="009F5CB8" w:rsidRDefault="009F5CB8" w:rsidP="009F5CB8">
      <w:pPr>
        <w:tabs>
          <w:tab w:val="left" w:pos="1532"/>
        </w:tabs>
        <w:jc w:val="center"/>
        <w:rPr>
          <w:b/>
          <w:sz w:val="28"/>
          <w:szCs w:val="28"/>
        </w:rPr>
      </w:pPr>
      <w:r>
        <w:rPr>
          <w:b/>
          <w:sz w:val="28"/>
          <w:szCs w:val="28"/>
        </w:rPr>
        <w:t xml:space="preserve">Решение №387 </w:t>
      </w:r>
    </w:p>
    <w:p w:rsidR="009F5CB8" w:rsidRPr="006315D3" w:rsidRDefault="009F5CB8" w:rsidP="009F5CB8">
      <w:pPr>
        <w:rPr>
          <w:sz w:val="28"/>
          <w:szCs w:val="28"/>
        </w:rPr>
      </w:pPr>
    </w:p>
    <w:p w:rsidR="009F5CB8" w:rsidRDefault="009F5CB8" w:rsidP="009F5CB8">
      <w:pPr>
        <w:tabs>
          <w:tab w:val="left" w:pos="1532"/>
        </w:tabs>
        <w:jc w:val="center"/>
        <w:rPr>
          <w:b/>
          <w:sz w:val="28"/>
          <w:szCs w:val="28"/>
        </w:rPr>
      </w:pPr>
    </w:p>
    <w:p w:rsidR="009F5CB8" w:rsidRPr="009F5CB8" w:rsidRDefault="009F5CB8" w:rsidP="009F5CB8">
      <w:pPr>
        <w:jc w:val="center"/>
        <w:rPr>
          <w:b/>
          <w:sz w:val="28"/>
          <w:szCs w:val="28"/>
        </w:rPr>
      </w:pPr>
      <w:r w:rsidRPr="009F5CB8">
        <w:rPr>
          <w:b/>
          <w:sz w:val="28"/>
          <w:szCs w:val="28"/>
        </w:rPr>
        <w:t xml:space="preserve">Об утверждении Порядка о назначении на должность, проведение </w:t>
      </w:r>
    </w:p>
    <w:p w:rsidR="009F5CB8" w:rsidRPr="009F5CB8" w:rsidRDefault="009F5CB8" w:rsidP="009F5CB8">
      <w:pPr>
        <w:jc w:val="center"/>
        <w:rPr>
          <w:b/>
          <w:sz w:val="28"/>
          <w:szCs w:val="28"/>
        </w:rPr>
      </w:pPr>
      <w:r w:rsidRPr="009F5CB8">
        <w:rPr>
          <w:b/>
          <w:sz w:val="28"/>
          <w:szCs w:val="28"/>
        </w:rPr>
        <w:t>конкурса на замещение вакантной должности, увольнения с должности руководителя финансового отдела муниципального образования «Звениговский муниципальный район»</w:t>
      </w:r>
    </w:p>
    <w:p w:rsidR="009F5CB8" w:rsidRPr="009F5CB8" w:rsidRDefault="009F5CB8" w:rsidP="009F5CB8">
      <w:pPr>
        <w:ind w:firstLine="567"/>
        <w:jc w:val="both"/>
        <w:rPr>
          <w:b/>
          <w:sz w:val="28"/>
          <w:szCs w:val="28"/>
        </w:rPr>
      </w:pPr>
    </w:p>
    <w:p w:rsidR="009F5CB8" w:rsidRPr="009F5CB8" w:rsidRDefault="009F5CB8" w:rsidP="009F5CB8">
      <w:pPr>
        <w:ind w:firstLine="567"/>
        <w:jc w:val="both"/>
        <w:rPr>
          <w:sz w:val="28"/>
          <w:szCs w:val="28"/>
        </w:rPr>
      </w:pPr>
      <w:r w:rsidRPr="009F5CB8">
        <w:rPr>
          <w:sz w:val="28"/>
          <w:szCs w:val="28"/>
        </w:rPr>
        <w:t>В соответствии со статьями 16,17,19 Федерального закона от 2 марта 2007 года № 25-ФЗ «О муниципальной службе в Российской Федерации», Собрание депутатов муниципального образования «Звениговский муниципальный район», решает:</w:t>
      </w:r>
    </w:p>
    <w:p w:rsidR="009F5CB8" w:rsidRPr="009F5CB8" w:rsidRDefault="009F5CB8" w:rsidP="009F5CB8">
      <w:pPr>
        <w:ind w:firstLine="567"/>
        <w:jc w:val="both"/>
        <w:rPr>
          <w:sz w:val="28"/>
          <w:szCs w:val="28"/>
        </w:rPr>
      </w:pPr>
      <w:r w:rsidRPr="009F5CB8">
        <w:rPr>
          <w:sz w:val="28"/>
          <w:szCs w:val="28"/>
        </w:rPr>
        <w:t>1. Утвердить Порядок о назначении на должность, проведение конкурса на замещение вакантной должности, увольнения с должности руководителя финансового отдела муниципального образования «Звениговский муниципальный район» согласно приложению.</w:t>
      </w:r>
    </w:p>
    <w:p w:rsidR="009F5CB8" w:rsidRPr="009F5CB8" w:rsidRDefault="009F5CB8" w:rsidP="009F5CB8">
      <w:pPr>
        <w:widowControl w:val="0"/>
        <w:ind w:firstLine="567"/>
        <w:jc w:val="both"/>
        <w:rPr>
          <w:sz w:val="28"/>
          <w:szCs w:val="28"/>
        </w:rPr>
      </w:pPr>
      <w:r w:rsidRPr="009F5CB8">
        <w:rPr>
          <w:sz w:val="28"/>
          <w:szCs w:val="28"/>
        </w:rPr>
        <w:t>2. Признать утратившим силу решение Собрания депутатов муниципального образования «Звениговский муниципальный район» от 28 сентября 2016 года № 183 «</w:t>
      </w:r>
      <w:r w:rsidRPr="009F5CB8">
        <w:rPr>
          <w:snapToGrid w:val="0"/>
          <w:sz w:val="28"/>
          <w:szCs w:val="28"/>
        </w:rPr>
        <w:t>О порядке проведения конкурса на замещение вакантной должности руководителя финансового отдела муниципального образования «Звениговский муниципальный район»</w:t>
      </w:r>
      <w:r w:rsidRPr="009F5CB8">
        <w:rPr>
          <w:sz w:val="28"/>
          <w:szCs w:val="28"/>
        </w:rPr>
        <w:t>.</w:t>
      </w:r>
    </w:p>
    <w:p w:rsidR="009F5CB8" w:rsidRPr="009F5CB8" w:rsidRDefault="009F5CB8" w:rsidP="009F5CB8">
      <w:pPr>
        <w:ind w:firstLine="567"/>
        <w:jc w:val="both"/>
        <w:rPr>
          <w:sz w:val="28"/>
          <w:szCs w:val="28"/>
        </w:rPr>
      </w:pPr>
      <w:r w:rsidRPr="009F5CB8">
        <w:rPr>
          <w:sz w:val="28"/>
          <w:szCs w:val="28"/>
        </w:rPr>
        <w:t xml:space="preserve">3. Настоящее решение вступает в силу после его официального опубликования. </w:t>
      </w:r>
    </w:p>
    <w:p w:rsidR="009F5CB8" w:rsidRPr="009F5CB8" w:rsidRDefault="009F5CB8" w:rsidP="009F5CB8">
      <w:pPr>
        <w:ind w:firstLine="567"/>
        <w:jc w:val="both"/>
        <w:rPr>
          <w:sz w:val="28"/>
          <w:szCs w:val="28"/>
        </w:rPr>
      </w:pPr>
      <w:r w:rsidRPr="009F5CB8">
        <w:rPr>
          <w:sz w:val="28"/>
          <w:szCs w:val="28"/>
        </w:rPr>
        <w:t>4. Опубликовать настоящее решение в Звениговской районной газете «Звениговская неделя».</w:t>
      </w:r>
    </w:p>
    <w:p w:rsidR="009F5CB8" w:rsidRPr="009F5CB8" w:rsidRDefault="009F5CB8" w:rsidP="009F5CB8">
      <w:pPr>
        <w:rPr>
          <w:sz w:val="28"/>
          <w:szCs w:val="28"/>
        </w:rPr>
      </w:pPr>
      <w:r w:rsidRPr="009F5CB8">
        <w:rPr>
          <w:b/>
          <w:sz w:val="28"/>
          <w:szCs w:val="28"/>
        </w:rPr>
        <w:t xml:space="preserve"> </w:t>
      </w:r>
    </w:p>
    <w:p w:rsidR="009F5CB8" w:rsidRDefault="009F5CB8" w:rsidP="009F5CB8">
      <w:pPr>
        <w:jc w:val="both"/>
        <w:rPr>
          <w:sz w:val="28"/>
          <w:szCs w:val="28"/>
        </w:rPr>
      </w:pPr>
      <w:r>
        <w:rPr>
          <w:sz w:val="28"/>
          <w:szCs w:val="28"/>
        </w:rPr>
        <w:t xml:space="preserve">      Председатель Собрания депутатов</w:t>
      </w:r>
    </w:p>
    <w:p w:rsidR="009F5CB8" w:rsidRDefault="009F5CB8" w:rsidP="009F5CB8">
      <w:pPr>
        <w:jc w:val="both"/>
      </w:pPr>
      <w:r>
        <w:rPr>
          <w:sz w:val="28"/>
          <w:szCs w:val="28"/>
        </w:rPr>
        <w:t xml:space="preserve">      Звениговского муниципального района                                    Н.Н.Козлова    </w:t>
      </w:r>
    </w:p>
    <w:p w:rsidR="009F5CB8" w:rsidRDefault="009F5CB8">
      <w:pPr>
        <w:spacing w:after="200" w:line="276"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9F5CB8" w:rsidTr="009F5CB8">
        <w:tc>
          <w:tcPr>
            <w:tcW w:w="4644" w:type="dxa"/>
          </w:tcPr>
          <w:p w:rsidR="009F5CB8" w:rsidRDefault="009F5CB8" w:rsidP="009F5CB8">
            <w:pPr>
              <w:rPr>
                <w:sz w:val="28"/>
                <w:szCs w:val="28"/>
              </w:rPr>
            </w:pPr>
          </w:p>
        </w:tc>
        <w:tc>
          <w:tcPr>
            <w:tcW w:w="4927" w:type="dxa"/>
          </w:tcPr>
          <w:p w:rsidR="009F5CB8" w:rsidRPr="009F5CB8" w:rsidRDefault="009F5CB8" w:rsidP="009F5CB8">
            <w:pPr>
              <w:jc w:val="center"/>
              <w:rPr>
                <w:sz w:val="28"/>
                <w:szCs w:val="28"/>
              </w:rPr>
            </w:pPr>
            <w:r w:rsidRPr="009F5CB8">
              <w:rPr>
                <w:sz w:val="28"/>
                <w:szCs w:val="28"/>
              </w:rPr>
              <w:t>Приложение</w:t>
            </w:r>
          </w:p>
          <w:p w:rsidR="009F5CB8" w:rsidRPr="009F5CB8" w:rsidRDefault="009F5CB8" w:rsidP="009F5CB8">
            <w:pPr>
              <w:jc w:val="center"/>
              <w:rPr>
                <w:sz w:val="28"/>
                <w:szCs w:val="28"/>
              </w:rPr>
            </w:pPr>
            <w:r w:rsidRPr="009F5CB8">
              <w:rPr>
                <w:sz w:val="28"/>
                <w:szCs w:val="28"/>
              </w:rPr>
              <w:t>к решению Собрания депутатов</w:t>
            </w:r>
          </w:p>
          <w:p w:rsidR="009F5CB8" w:rsidRPr="009F5CB8" w:rsidRDefault="009F5CB8" w:rsidP="009F5CB8">
            <w:pPr>
              <w:jc w:val="center"/>
              <w:rPr>
                <w:sz w:val="28"/>
                <w:szCs w:val="28"/>
              </w:rPr>
            </w:pPr>
            <w:r w:rsidRPr="009F5CB8">
              <w:rPr>
                <w:sz w:val="28"/>
                <w:szCs w:val="28"/>
              </w:rPr>
              <w:t>МО «Звениговский муниципальный район»</w:t>
            </w:r>
          </w:p>
          <w:p w:rsidR="009F5CB8" w:rsidRDefault="009F5CB8" w:rsidP="009F5CB8">
            <w:pPr>
              <w:jc w:val="center"/>
              <w:rPr>
                <w:sz w:val="28"/>
                <w:szCs w:val="28"/>
              </w:rPr>
            </w:pPr>
            <w:r w:rsidRPr="009F5CB8">
              <w:rPr>
                <w:sz w:val="28"/>
                <w:szCs w:val="28"/>
              </w:rPr>
              <w:t>от «</w:t>
            </w:r>
            <w:r>
              <w:rPr>
                <w:sz w:val="28"/>
                <w:szCs w:val="28"/>
              </w:rPr>
              <w:t>29</w:t>
            </w:r>
            <w:r w:rsidRPr="009F5CB8">
              <w:rPr>
                <w:sz w:val="28"/>
                <w:szCs w:val="28"/>
              </w:rPr>
              <w:t xml:space="preserve">»  </w:t>
            </w:r>
            <w:r>
              <w:rPr>
                <w:sz w:val="28"/>
                <w:szCs w:val="28"/>
              </w:rPr>
              <w:t>августа</w:t>
            </w:r>
            <w:r w:rsidRPr="009F5CB8">
              <w:rPr>
                <w:sz w:val="28"/>
                <w:szCs w:val="28"/>
              </w:rPr>
              <w:t xml:space="preserve">  2019 года № </w:t>
            </w:r>
            <w:r>
              <w:rPr>
                <w:sz w:val="28"/>
                <w:szCs w:val="28"/>
              </w:rPr>
              <w:t>387</w:t>
            </w:r>
          </w:p>
        </w:tc>
      </w:tr>
    </w:tbl>
    <w:p w:rsidR="009F5CB8" w:rsidRDefault="009F5CB8" w:rsidP="009F5CB8">
      <w:pPr>
        <w:rPr>
          <w:sz w:val="28"/>
          <w:szCs w:val="28"/>
        </w:rPr>
      </w:pPr>
    </w:p>
    <w:p w:rsidR="009F5CB8" w:rsidRPr="009F5CB8" w:rsidRDefault="009F5CB8" w:rsidP="009F5CB8">
      <w:pPr>
        <w:rPr>
          <w:sz w:val="28"/>
          <w:szCs w:val="28"/>
        </w:rPr>
      </w:pPr>
      <w:r w:rsidRPr="009F5CB8">
        <w:rPr>
          <w:sz w:val="28"/>
          <w:szCs w:val="28"/>
        </w:rPr>
        <w:drawing>
          <wp:inline distT="0" distB="0" distL="0" distR="0">
            <wp:extent cx="154305" cy="154305"/>
            <wp:effectExtent l="0" t="0" r="0" b="0"/>
            <wp:docPr id="147" name="Рисунок 40" descr="Italian">
              <a:hlinkClick xmlns:a="http://schemas.openxmlformats.org/drawingml/2006/main" r:id="rId5" tooltip="&quot;Itali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Itali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49" name="Рисунок 42" descr="Javanese">
              <a:hlinkClick xmlns:a="http://schemas.openxmlformats.org/drawingml/2006/main" r:id="rId7" tooltip="&quot;Javane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Javanese"/>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3" name="Рисунок 46" descr="Korean">
              <a:hlinkClick xmlns:a="http://schemas.openxmlformats.org/drawingml/2006/main" r:id="rId8" tooltip="&quot;Kore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Kore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4" name="Рисунок 47" descr="Kurdish (Kurmanji)">
              <a:hlinkClick xmlns:a="http://schemas.openxmlformats.org/drawingml/2006/main" r:id="rId9" tooltip="&quot;Kurdish (Kurmanji)&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Kurdish (Kurmanji)"/>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5" name="Рисунок 48" descr="Kyrgyz">
              <a:hlinkClick xmlns:a="http://schemas.openxmlformats.org/drawingml/2006/main" r:id="rId10" tooltip="&quot;Kyrgyz&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Kyrgyz"/>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6" name="Рисунок 49" descr="Lao">
              <a:hlinkClick xmlns:a="http://schemas.openxmlformats.org/drawingml/2006/main" r:id="rId11" tooltip="&quot;Lao&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Lao"/>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7" name="Рисунок 50" descr="Latin">
              <a:hlinkClick xmlns:a="http://schemas.openxmlformats.org/drawingml/2006/main" r:id="rId12" tooltip="&quot;Lati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Lati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8" name="Рисунок 51" descr="Latvian">
              <a:hlinkClick xmlns:a="http://schemas.openxmlformats.org/drawingml/2006/main" r:id="rId13" tooltip="&quot;Latvi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Latvi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59" name="Рисунок 52" descr="Lithuanian">
              <a:hlinkClick xmlns:a="http://schemas.openxmlformats.org/drawingml/2006/main" r:id="rId14" tooltip="&quot;Lithuani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Lithuani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0" name="Рисунок 53" descr="Luxembourgish">
              <a:hlinkClick xmlns:a="http://schemas.openxmlformats.org/drawingml/2006/main" r:id="rId15" tooltip="&quot;Luxembourgish&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Luxembourgish"/>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1" name="Рисунок 56" descr="Malay">
              <a:hlinkClick xmlns:a="http://schemas.openxmlformats.org/drawingml/2006/main" r:id="rId16" tooltip="&quot;Malay&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Malay"/>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2" name="Рисунок 57" descr="Malayalam">
              <a:hlinkClick xmlns:a="http://schemas.openxmlformats.org/drawingml/2006/main" r:id="rId17" tooltip="&quot;Malayalam&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Malayalam"/>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3" name="Рисунок 58" descr="Maltese">
              <a:hlinkClick xmlns:a="http://schemas.openxmlformats.org/drawingml/2006/main" r:id="rId18" tooltip="&quot;Malte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Maltese"/>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4" name="Рисунок 59" descr="Maori">
              <a:hlinkClick xmlns:a="http://schemas.openxmlformats.org/drawingml/2006/main" r:id="rId19" tooltip="&quot;Maori&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Maori"/>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5" name="Рисунок 60" descr="Marathi">
              <a:hlinkClick xmlns:a="http://schemas.openxmlformats.org/drawingml/2006/main" r:id="rId20" tooltip="&quot;Marathi&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Marathi"/>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6" name="Рисунок 61" descr="Mongolian">
              <a:hlinkClick xmlns:a="http://schemas.openxmlformats.org/drawingml/2006/main" r:id="rId21" tooltip="&quot;Mongoli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Mongoli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7" name="Рисунок 62" descr="Myanmar (Burmese)">
              <a:hlinkClick xmlns:a="http://schemas.openxmlformats.org/drawingml/2006/main" r:id="rId22" tooltip="&quot;Myanmar (Burme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Myanmar (Burmese)"/>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8" name="Рисунок 63" descr="Nepali">
              <a:hlinkClick xmlns:a="http://schemas.openxmlformats.org/drawingml/2006/main" r:id="rId23" tooltip="&quot;Nepali&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Nepali"/>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69" name="Рисунок 64" descr="Norwegian">
              <a:hlinkClick xmlns:a="http://schemas.openxmlformats.org/drawingml/2006/main" r:id="rId24" tooltip="&quot;Norwegi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Norwegi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70" name="Рисунок 65" descr="Pashto">
              <a:hlinkClick xmlns:a="http://schemas.openxmlformats.org/drawingml/2006/main" r:id="rId25" tooltip="&quot;Pashto&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ashto"/>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71" name="Рисунок 66" descr="Persian">
              <a:hlinkClick xmlns:a="http://schemas.openxmlformats.org/drawingml/2006/main" r:id="rId26" tooltip="&quot;Persia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ersian"/>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9F5CB8">
        <w:rPr>
          <w:sz w:val="28"/>
          <w:szCs w:val="28"/>
        </w:rPr>
        <w:drawing>
          <wp:inline distT="0" distB="0" distL="0" distR="0">
            <wp:extent cx="154305" cy="154305"/>
            <wp:effectExtent l="0" t="0" r="0" b="0"/>
            <wp:docPr id="174" name="Рисунок 69" descr="Punjabi">
              <a:hlinkClick xmlns:a="http://schemas.openxmlformats.org/drawingml/2006/main" r:id="rId27" tooltip="&quot;Punjabi&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unjabi"/>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p>
    <w:p w:rsidR="009F5CB8" w:rsidRPr="009F5CB8" w:rsidRDefault="009F5CB8" w:rsidP="009F5CB8">
      <w:pPr>
        <w:jc w:val="center"/>
        <w:rPr>
          <w:b/>
          <w:sz w:val="28"/>
          <w:szCs w:val="28"/>
        </w:rPr>
      </w:pPr>
      <w:r w:rsidRPr="009F5CB8">
        <w:rPr>
          <w:b/>
          <w:sz w:val="28"/>
          <w:szCs w:val="28"/>
        </w:rPr>
        <w:t>ПОРЯДОК</w:t>
      </w:r>
    </w:p>
    <w:p w:rsidR="009F5CB8" w:rsidRPr="009F5CB8" w:rsidRDefault="009F5CB8" w:rsidP="009F5CB8">
      <w:pPr>
        <w:jc w:val="center"/>
        <w:rPr>
          <w:b/>
          <w:sz w:val="28"/>
          <w:szCs w:val="28"/>
        </w:rPr>
      </w:pPr>
      <w:r w:rsidRPr="009F5CB8">
        <w:rPr>
          <w:b/>
          <w:sz w:val="28"/>
          <w:szCs w:val="28"/>
        </w:rPr>
        <w:t>о назначении на должность, проведение</w:t>
      </w:r>
    </w:p>
    <w:p w:rsidR="009F5CB8" w:rsidRPr="009F5CB8" w:rsidRDefault="009F5CB8" w:rsidP="009F5CB8">
      <w:pPr>
        <w:jc w:val="center"/>
        <w:rPr>
          <w:b/>
          <w:sz w:val="28"/>
          <w:szCs w:val="28"/>
        </w:rPr>
      </w:pPr>
      <w:r w:rsidRPr="009F5CB8">
        <w:rPr>
          <w:b/>
          <w:sz w:val="28"/>
          <w:szCs w:val="28"/>
        </w:rPr>
        <w:t>конкурса на замещение вакантной должности, увольнения с должности руководителя финансового отдела муниципального образования «Звениговский муниципальный район»</w:t>
      </w:r>
    </w:p>
    <w:p w:rsidR="009F5CB8" w:rsidRPr="009F5CB8" w:rsidRDefault="009F5CB8" w:rsidP="009F5CB8">
      <w:pPr>
        <w:rPr>
          <w:b/>
          <w:sz w:val="28"/>
          <w:szCs w:val="28"/>
        </w:rPr>
      </w:pPr>
    </w:p>
    <w:p w:rsidR="009F5CB8" w:rsidRPr="009F5CB8" w:rsidRDefault="009F5CB8" w:rsidP="009F5CB8">
      <w:pPr>
        <w:ind w:firstLine="709"/>
        <w:jc w:val="both"/>
        <w:rPr>
          <w:b/>
          <w:sz w:val="28"/>
          <w:szCs w:val="28"/>
        </w:rPr>
      </w:pPr>
      <w:r w:rsidRPr="009F5CB8">
        <w:rPr>
          <w:b/>
          <w:sz w:val="28"/>
          <w:szCs w:val="28"/>
        </w:rPr>
        <w:t>1. Назначение на должность руководителя финансового отдела муниципального образования «Звениговский муниципальный район»</w:t>
      </w:r>
    </w:p>
    <w:p w:rsidR="009F5CB8" w:rsidRPr="009F5CB8" w:rsidRDefault="009F5CB8" w:rsidP="009F5CB8">
      <w:pPr>
        <w:ind w:firstLine="709"/>
        <w:jc w:val="both"/>
        <w:rPr>
          <w:sz w:val="28"/>
          <w:szCs w:val="28"/>
        </w:rPr>
      </w:pPr>
      <w:r w:rsidRPr="009F5CB8">
        <w:rPr>
          <w:sz w:val="28"/>
          <w:szCs w:val="28"/>
        </w:rPr>
        <w:t xml:space="preserve">1.1. </w:t>
      </w:r>
      <w:proofErr w:type="gramStart"/>
      <w:r w:rsidRPr="009F5CB8">
        <w:rPr>
          <w:sz w:val="28"/>
          <w:szCs w:val="28"/>
        </w:rPr>
        <w:t>Руководитель финансового отдела муниципального образования «Звениговский муниципальный район» (далее по тексту – руководитель финансового отдела) назначается на должность Главой муниципального образования «Звениговский муниципальный район» из числа лиц, соответствующих квалификационным требованиям, предъявляемым к руководителю финансового отдела, утвержденным решением Собрания депутатов муниципального образования «Звениговский муниципальный район» от 21 августа 2017 года № 241 «О квалификационных требованиях для замещения должностей муниципальной службы в муниципальном образовании</w:t>
      </w:r>
      <w:proofErr w:type="gramEnd"/>
      <w:r w:rsidRPr="009F5CB8">
        <w:rPr>
          <w:sz w:val="28"/>
          <w:szCs w:val="28"/>
        </w:rPr>
        <w:t xml:space="preserve"> «Звениговский муниципальный район».</w:t>
      </w:r>
    </w:p>
    <w:p w:rsidR="009F5CB8" w:rsidRPr="009F5CB8" w:rsidRDefault="009F5CB8" w:rsidP="009F5CB8">
      <w:pPr>
        <w:ind w:firstLine="709"/>
        <w:jc w:val="both"/>
        <w:rPr>
          <w:sz w:val="28"/>
          <w:szCs w:val="28"/>
        </w:rPr>
      </w:pPr>
    </w:p>
    <w:p w:rsidR="009F5CB8" w:rsidRPr="009F5CB8" w:rsidRDefault="009F5CB8" w:rsidP="009F5CB8">
      <w:pPr>
        <w:ind w:firstLine="709"/>
        <w:jc w:val="both"/>
        <w:rPr>
          <w:b/>
          <w:sz w:val="28"/>
          <w:szCs w:val="28"/>
        </w:rPr>
      </w:pPr>
      <w:r w:rsidRPr="009F5CB8">
        <w:rPr>
          <w:b/>
          <w:sz w:val="28"/>
          <w:szCs w:val="28"/>
        </w:rPr>
        <w:t>2. Проведение конкурса на замещение вакантной должности руководителя финансового отдела муниципального образования «Звениговский муниципальный район»</w:t>
      </w:r>
    </w:p>
    <w:p w:rsidR="009F5CB8" w:rsidRPr="009F5CB8" w:rsidRDefault="009F5CB8" w:rsidP="009F5CB8">
      <w:pPr>
        <w:ind w:firstLine="709"/>
        <w:jc w:val="both"/>
        <w:rPr>
          <w:sz w:val="28"/>
          <w:szCs w:val="28"/>
        </w:rPr>
      </w:pPr>
      <w:r w:rsidRPr="009F5CB8">
        <w:rPr>
          <w:sz w:val="28"/>
          <w:szCs w:val="28"/>
        </w:rPr>
        <w:t>2.1. Конкурс на замещение вакантной должности муниципальной службы объявляется по постановлению Главы муниципального образования «Звениговский муниципальный район» (далее - Глава муниципального района) при наличии вакантной (не замещенной муниципальным служащим) должности муниципальной службы.</w:t>
      </w:r>
    </w:p>
    <w:p w:rsidR="009F5CB8" w:rsidRPr="009F5CB8" w:rsidRDefault="009F5CB8" w:rsidP="009F5CB8">
      <w:pPr>
        <w:ind w:firstLine="709"/>
        <w:jc w:val="both"/>
        <w:rPr>
          <w:sz w:val="28"/>
          <w:szCs w:val="28"/>
        </w:rPr>
      </w:pPr>
      <w:r w:rsidRPr="009F5CB8">
        <w:rPr>
          <w:sz w:val="28"/>
          <w:szCs w:val="28"/>
        </w:rPr>
        <w:t xml:space="preserve">2.2. </w:t>
      </w:r>
      <w:proofErr w:type="gramStart"/>
      <w:r w:rsidRPr="009F5CB8">
        <w:rPr>
          <w:sz w:val="28"/>
          <w:szCs w:val="28"/>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2 марта 2007 года № 25- ФЗ «О муниципальной службе</w:t>
      </w:r>
      <w:proofErr w:type="gramEnd"/>
      <w:r w:rsidRPr="009F5CB8">
        <w:rPr>
          <w:sz w:val="28"/>
          <w:szCs w:val="28"/>
        </w:rPr>
        <w:t xml:space="preserve"> в Российской Федерации» в качестве ограничений, связанных с муниципальной службой.</w:t>
      </w:r>
    </w:p>
    <w:p w:rsidR="009F5CB8" w:rsidRPr="009F5CB8" w:rsidRDefault="009F5CB8" w:rsidP="009F5CB8">
      <w:pPr>
        <w:ind w:firstLine="709"/>
        <w:jc w:val="both"/>
        <w:rPr>
          <w:sz w:val="28"/>
          <w:szCs w:val="28"/>
        </w:rPr>
      </w:pPr>
      <w:r w:rsidRPr="009F5CB8">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F5CB8" w:rsidRPr="009F5CB8" w:rsidRDefault="009F5CB8" w:rsidP="009F5CB8">
      <w:pPr>
        <w:ind w:firstLine="709"/>
        <w:jc w:val="both"/>
        <w:rPr>
          <w:sz w:val="28"/>
          <w:szCs w:val="28"/>
        </w:rPr>
      </w:pPr>
      <w:r w:rsidRPr="009F5CB8">
        <w:rPr>
          <w:sz w:val="28"/>
          <w:szCs w:val="28"/>
        </w:rPr>
        <w:t xml:space="preserve">2.3. Конкурс проводится в два этапа. На первом </w:t>
      </w:r>
      <w:proofErr w:type="gramStart"/>
      <w:r w:rsidRPr="009F5CB8">
        <w:rPr>
          <w:sz w:val="28"/>
          <w:szCs w:val="28"/>
        </w:rPr>
        <w:t>этапе</w:t>
      </w:r>
      <w:proofErr w:type="gramEnd"/>
      <w:r w:rsidRPr="009F5CB8">
        <w:rPr>
          <w:sz w:val="28"/>
          <w:szCs w:val="28"/>
        </w:rPr>
        <w:t xml:space="preserve"> на официальном сайте муниципального района в информационно-телекоммуникационной сети «Интернет» размещается объявление о приеме документов для участия в конкурсе, а также следующая информация о конкурсе:</w:t>
      </w:r>
    </w:p>
    <w:p w:rsidR="009F5CB8" w:rsidRPr="009F5CB8" w:rsidRDefault="009F5CB8" w:rsidP="009F5CB8">
      <w:pPr>
        <w:ind w:firstLine="709"/>
        <w:jc w:val="both"/>
        <w:rPr>
          <w:sz w:val="28"/>
          <w:szCs w:val="28"/>
        </w:rPr>
      </w:pPr>
      <w:r w:rsidRPr="009F5CB8">
        <w:rPr>
          <w:sz w:val="28"/>
          <w:szCs w:val="28"/>
        </w:rPr>
        <w:t>- наименование вакантной должности муниципальной службы;</w:t>
      </w:r>
    </w:p>
    <w:p w:rsidR="009F5CB8" w:rsidRPr="009F5CB8" w:rsidRDefault="009F5CB8" w:rsidP="009F5CB8">
      <w:pPr>
        <w:ind w:firstLine="709"/>
        <w:jc w:val="both"/>
        <w:rPr>
          <w:sz w:val="28"/>
          <w:szCs w:val="28"/>
        </w:rPr>
      </w:pPr>
      <w:r w:rsidRPr="009F5CB8">
        <w:rPr>
          <w:sz w:val="28"/>
          <w:szCs w:val="28"/>
        </w:rPr>
        <w:t>- требования, предъявляемые к претенденту на замещение этой должности;</w:t>
      </w:r>
    </w:p>
    <w:p w:rsidR="009F5CB8" w:rsidRPr="009F5CB8" w:rsidRDefault="009F5CB8" w:rsidP="009F5CB8">
      <w:pPr>
        <w:ind w:firstLine="709"/>
        <w:jc w:val="both"/>
        <w:rPr>
          <w:sz w:val="28"/>
          <w:szCs w:val="28"/>
        </w:rPr>
      </w:pPr>
      <w:r w:rsidRPr="009F5CB8">
        <w:rPr>
          <w:sz w:val="28"/>
          <w:szCs w:val="28"/>
        </w:rPr>
        <w:t>- условия прохождения муниципальной службы;</w:t>
      </w:r>
    </w:p>
    <w:p w:rsidR="009F5CB8" w:rsidRPr="009F5CB8" w:rsidRDefault="009F5CB8" w:rsidP="009F5CB8">
      <w:pPr>
        <w:ind w:firstLine="709"/>
        <w:jc w:val="both"/>
        <w:rPr>
          <w:sz w:val="28"/>
          <w:szCs w:val="28"/>
        </w:rPr>
      </w:pPr>
      <w:r w:rsidRPr="009F5CB8">
        <w:rPr>
          <w:sz w:val="28"/>
          <w:szCs w:val="28"/>
        </w:rPr>
        <w:t>- место и время приема документов, подлежащих представлению;</w:t>
      </w:r>
    </w:p>
    <w:p w:rsidR="009F5CB8" w:rsidRPr="009F5CB8" w:rsidRDefault="009F5CB8" w:rsidP="009F5CB8">
      <w:pPr>
        <w:ind w:firstLine="709"/>
        <w:jc w:val="both"/>
        <w:rPr>
          <w:sz w:val="28"/>
          <w:szCs w:val="28"/>
        </w:rPr>
      </w:pPr>
      <w:r w:rsidRPr="009F5CB8">
        <w:rPr>
          <w:sz w:val="28"/>
          <w:szCs w:val="28"/>
        </w:rPr>
        <w:t>- срок, до истечения которого принимаются указанные документы;</w:t>
      </w:r>
    </w:p>
    <w:p w:rsidR="009F5CB8" w:rsidRPr="009F5CB8" w:rsidRDefault="009F5CB8" w:rsidP="009F5CB8">
      <w:pPr>
        <w:ind w:firstLine="709"/>
        <w:jc w:val="both"/>
        <w:rPr>
          <w:sz w:val="28"/>
          <w:szCs w:val="28"/>
        </w:rPr>
      </w:pPr>
      <w:r w:rsidRPr="009F5CB8">
        <w:rPr>
          <w:sz w:val="28"/>
          <w:szCs w:val="28"/>
        </w:rPr>
        <w:t>- предполагаемая дата, место и порядок  проведения конкурса.</w:t>
      </w:r>
    </w:p>
    <w:p w:rsidR="009F5CB8" w:rsidRPr="009F5CB8" w:rsidRDefault="009F5CB8" w:rsidP="009F5CB8">
      <w:pPr>
        <w:ind w:firstLine="709"/>
        <w:jc w:val="both"/>
        <w:rPr>
          <w:sz w:val="28"/>
          <w:szCs w:val="28"/>
        </w:rPr>
      </w:pPr>
      <w:r w:rsidRPr="009F5CB8">
        <w:rPr>
          <w:sz w:val="28"/>
          <w:szCs w:val="28"/>
        </w:rPr>
        <w:t>Объявление о приеме документов для участия в конкурсе и информация о конкурсе также могут публиковаться в газете муниципального учреждения «Редакция Звениговской районной газеты «Звениговская неделя».</w:t>
      </w:r>
    </w:p>
    <w:p w:rsidR="009F5CB8" w:rsidRPr="009F5CB8" w:rsidRDefault="009F5CB8" w:rsidP="009F5CB8">
      <w:pPr>
        <w:ind w:firstLine="709"/>
        <w:jc w:val="both"/>
        <w:rPr>
          <w:sz w:val="28"/>
          <w:szCs w:val="28"/>
        </w:rPr>
      </w:pPr>
      <w:r w:rsidRPr="009F5CB8">
        <w:rPr>
          <w:sz w:val="28"/>
          <w:szCs w:val="28"/>
        </w:rPr>
        <w:t>2.4. Гражданин, изъявивший желание участвовать в конкурсе, представляет в конкурсную комиссию:</w:t>
      </w:r>
    </w:p>
    <w:p w:rsidR="009F5CB8" w:rsidRPr="009F5CB8" w:rsidRDefault="009F5CB8" w:rsidP="009F5CB8">
      <w:pPr>
        <w:ind w:firstLine="709"/>
        <w:jc w:val="both"/>
        <w:rPr>
          <w:sz w:val="28"/>
          <w:szCs w:val="28"/>
        </w:rPr>
      </w:pPr>
      <w:r w:rsidRPr="009F5CB8">
        <w:rPr>
          <w:sz w:val="28"/>
          <w:szCs w:val="28"/>
        </w:rPr>
        <w:t>1) личное заявление;</w:t>
      </w:r>
    </w:p>
    <w:p w:rsidR="009F5CB8" w:rsidRPr="009F5CB8" w:rsidRDefault="009F5CB8" w:rsidP="009F5CB8">
      <w:pPr>
        <w:ind w:firstLine="709"/>
        <w:jc w:val="both"/>
        <w:rPr>
          <w:sz w:val="28"/>
          <w:szCs w:val="28"/>
        </w:rPr>
      </w:pPr>
      <w:r w:rsidRPr="009F5CB8">
        <w:rPr>
          <w:sz w:val="28"/>
          <w:szCs w:val="28"/>
        </w:rPr>
        <w:t xml:space="preserve">2) собственноручно заполненную и подписанную анкету по </w:t>
      </w:r>
      <w:hyperlink r:id="rId28" w:tooltip="Распоряжение Правительства РФ от 26.05.2005 N 667-р (ред. от 16.10.2007)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 w:history="1">
        <w:r w:rsidRPr="009F5CB8">
          <w:rPr>
            <w:rStyle w:val="a5"/>
            <w:sz w:val="28"/>
            <w:szCs w:val="28"/>
          </w:rPr>
          <w:t>форме</w:t>
        </w:r>
      </w:hyperlink>
      <w:r w:rsidRPr="009F5CB8">
        <w:rPr>
          <w:sz w:val="28"/>
          <w:szCs w:val="28"/>
        </w:rPr>
        <w:t>, утвержденной распоряжением Правительства Российской Федерации от 25.05.2005 года № 667-р, с приложением фотографии;</w:t>
      </w:r>
    </w:p>
    <w:p w:rsidR="009F5CB8" w:rsidRPr="009F5CB8" w:rsidRDefault="009F5CB8" w:rsidP="009F5CB8">
      <w:pPr>
        <w:ind w:firstLine="709"/>
        <w:jc w:val="both"/>
        <w:rPr>
          <w:sz w:val="28"/>
          <w:szCs w:val="28"/>
        </w:rPr>
      </w:pPr>
      <w:r w:rsidRPr="009F5CB8">
        <w:rPr>
          <w:sz w:val="28"/>
          <w:szCs w:val="28"/>
        </w:rPr>
        <w:t>3) копию паспорта или иного документа, удостоверяющего личность (соответствующий документ предъявляется лично по прибытии на конкурс);</w:t>
      </w:r>
    </w:p>
    <w:p w:rsidR="009F5CB8" w:rsidRPr="009F5CB8" w:rsidRDefault="009F5CB8" w:rsidP="009F5CB8">
      <w:pPr>
        <w:ind w:firstLine="709"/>
        <w:jc w:val="both"/>
        <w:rPr>
          <w:sz w:val="28"/>
          <w:szCs w:val="28"/>
        </w:rPr>
      </w:pPr>
      <w:r w:rsidRPr="009F5CB8">
        <w:rPr>
          <w:sz w:val="28"/>
          <w:szCs w:val="28"/>
        </w:rPr>
        <w:t>4) документы, подтверждающие необходимое профессиональное образование, квалификацию и стаж работы:</w:t>
      </w:r>
    </w:p>
    <w:p w:rsidR="009F5CB8" w:rsidRPr="009F5CB8" w:rsidRDefault="009F5CB8" w:rsidP="009F5CB8">
      <w:pPr>
        <w:ind w:firstLine="709"/>
        <w:jc w:val="both"/>
        <w:rPr>
          <w:sz w:val="28"/>
          <w:szCs w:val="28"/>
        </w:rPr>
      </w:pPr>
      <w:r w:rsidRPr="009F5CB8">
        <w:rPr>
          <w:sz w:val="28"/>
          <w:szCs w:val="28"/>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9F5CB8" w:rsidRPr="009F5CB8" w:rsidRDefault="009F5CB8" w:rsidP="009F5CB8">
      <w:pPr>
        <w:ind w:firstLine="709"/>
        <w:jc w:val="both"/>
        <w:rPr>
          <w:sz w:val="28"/>
          <w:szCs w:val="28"/>
        </w:rPr>
      </w:pPr>
      <w:r w:rsidRPr="009F5CB8">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F5CB8" w:rsidRPr="009F5CB8" w:rsidRDefault="009F5CB8" w:rsidP="009F5CB8">
      <w:pPr>
        <w:ind w:firstLine="709"/>
        <w:jc w:val="both"/>
        <w:rPr>
          <w:sz w:val="28"/>
          <w:szCs w:val="28"/>
        </w:rPr>
      </w:pPr>
      <w:r w:rsidRPr="009F5CB8">
        <w:rPr>
          <w:sz w:val="28"/>
          <w:szCs w:val="28"/>
        </w:rPr>
        <w:t>5) страховое свидетельство обязательного пенсионного страхования, за исключением случаев, когда трудовой договор заключается впервые;</w:t>
      </w:r>
    </w:p>
    <w:p w:rsidR="009F5CB8" w:rsidRPr="009F5CB8" w:rsidRDefault="009F5CB8" w:rsidP="009F5CB8">
      <w:pPr>
        <w:ind w:firstLine="709"/>
        <w:jc w:val="both"/>
        <w:rPr>
          <w:sz w:val="28"/>
          <w:szCs w:val="28"/>
        </w:rPr>
      </w:pPr>
      <w:r w:rsidRPr="009F5CB8">
        <w:rPr>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9F5CB8" w:rsidRPr="009F5CB8" w:rsidRDefault="009F5CB8" w:rsidP="009F5CB8">
      <w:pPr>
        <w:ind w:firstLine="709"/>
        <w:jc w:val="both"/>
        <w:rPr>
          <w:sz w:val="28"/>
          <w:szCs w:val="28"/>
        </w:rPr>
      </w:pPr>
      <w:r w:rsidRPr="009F5CB8">
        <w:rPr>
          <w:sz w:val="28"/>
          <w:szCs w:val="28"/>
        </w:rPr>
        <w:t>7) документы воинского учета - для граждан, пребывающих в запасе, и лиц, подлежащих призыву на военную службу;</w:t>
      </w:r>
    </w:p>
    <w:p w:rsidR="009F5CB8" w:rsidRPr="009F5CB8" w:rsidRDefault="009F5CB8" w:rsidP="009F5CB8">
      <w:pPr>
        <w:ind w:firstLine="709"/>
        <w:jc w:val="both"/>
        <w:rPr>
          <w:sz w:val="28"/>
          <w:szCs w:val="28"/>
        </w:rPr>
      </w:pPr>
      <w:r w:rsidRPr="009F5CB8">
        <w:rPr>
          <w:sz w:val="28"/>
          <w:szCs w:val="28"/>
        </w:rPr>
        <w:t>8) заключение медицинской организации об отсутствии у гражданина заболевания, препятствующего поступлению на муниципальную службу или ее прохождению;</w:t>
      </w:r>
    </w:p>
    <w:p w:rsidR="009F5CB8" w:rsidRPr="009F5CB8" w:rsidRDefault="009F5CB8" w:rsidP="009F5CB8">
      <w:pPr>
        <w:ind w:firstLine="709"/>
        <w:jc w:val="both"/>
        <w:rPr>
          <w:sz w:val="28"/>
          <w:szCs w:val="28"/>
        </w:rPr>
      </w:pPr>
      <w:r w:rsidRPr="009F5CB8">
        <w:rPr>
          <w:sz w:val="28"/>
          <w:szCs w:val="28"/>
        </w:rPr>
        <w:t>9)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F5CB8" w:rsidRPr="009F5CB8" w:rsidRDefault="009F5CB8" w:rsidP="009F5CB8">
      <w:pPr>
        <w:ind w:firstLine="709"/>
        <w:jc w:val="both"/>
        <w:rPr>
          <w:sz w:val="28"/>
          <w:szCs w:val="28"/>
        </w:rPr>
      </w:pPr>
      <w:r w:rsidRPr="009F5CB8">
        <w:rPr>
          <w:sz w:val="28"/>
          <w:szCs w:val="28"/>
        </w:rPr>
        <w:t>10) согласие на обработку персональных данных.</w:t>
      </w:r>
    </w:p>
    <w:p w:rsidR="009F5CB8" w:rsidRPr="009F5CB8" w:rsidRDefault="009F5CB8" w:rsidP="009F5CB8">
      <w:pPr>
        <w:ind w:firstLine="709"/>
        <w:jc w:val="both"/>
        <w:rPr>
          <w:sz w:val="28"/>
          <w:szCs w:val="28"/>
        </w:rPr>
      </w:pPr>
      <w:r w:rsidRPr="009F5CB8">
        <w:rPr>
          <w:sz w:val="28"/>
          <w:szCs w:val="28"/>
        </w:rPr>
        <w:t>2.5. Достоверность сведений, представленных гражданином на имя Главы муниципального района, подлежит проверке.</w:t>
      </w:r>
    </w:p>
    <w:p w:rsidR="009F5CB8" w:rsidRPr="009F5CB8" w:rsidRDefault="009F5CB8" w:rsidP="009F5CB8">
      <w:pPr>
        <w:ind w:firstLine="709"/>
        <w:jc w:val="both"/>
        <w:rPr>
          <w:sz w:val="28"/>
          <w:szCs w:val="28"/>
        </w:rPr>
      </w:pPr>
      <w:r w:rsidRPr="009F5CB8">
        <w:rPr>
          <w:sz w:val="28"/>
          <w:szCs w:val="28"/>
        </w:rPr>
        <w:t xml:space="preserve">2.6. </w:t>
      </w:r>
      <w:proofErr w:type="gramStart"/>
      <w:r w:rsidRPr="009F5CB8">
        <w:rPr>
          <w:sz w:val="28"/>
          <w:szCs w:val="28"/>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статьей 13 Федерального закона от 2 марта 2007 года № 25-ФЗ «О муниципальной службе в Российской Федерации» для поступления на муниципальную службу и ее прохождения.</w:t>
      </w:r>
      <w:proofErr w:type="gramEnd"/>
    </w:p>
    <w:p w:rsidR="009F5CB8" w:rsidRPr="009F5CB8" w:rsidRDefault="009F5CB8" w:rsidP="009F5CB8">
      <w:pPr>
        <w:ind w:firstLine="709"/>
        <w:jc w:val="both"/>
        <w:rPr>
          <w:sz w:val="28"/>
          <w:szCs w:val="28"/>
        </w:rPr>
      </w:pPr>
      <w:r w:rsidRPr="009F5CB8">
        <w:rPr>
          <w:sz w:val="28"/>
          <w:szCs w:val="28"/>
        </w:rPr>
        <w:t>2.7. Документы, указанные в пунктах 2.4 настоящего Порядка, представляются в конкурсную комиссию в течение 21 дня со дня размещения объявления об их приеме на официальном сайте муниципального района в сети Интернет.</w:t>
      </w:r>
    </w:p>
    <w:p w:rsidR="009F5CB8" w:rsidRPr="009F5CB8" w:rsidRDefault="009F5CB8" w:rsidP="009F5CB8">
      <w:pPr>
        <w:ind w:firstLine="709"/>
        <w:jc w:val="both"/>
        <w:rPr>
          <w:sz w:val="28"/>
          <w:szCs w:val="28"/>
        </w:rPr>
      </w:pPr>
      <w:r w:rsidRPr="009F5CB8">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9F5CB8" w:rsidRPr="009F5CB8" w:rsidRDefault="009F5CB8" w:rsidP="009F5CB8">
      <w:pPr>
        <w:ind w:firstLine="709"/>
        <w:jc w:val="both"/>
        <w:rPr>
          <w:sz w:val="28"/>
          <w:szCs w:val="28"/>
        </w:rPr>
      </w:pPr>
      <w:r w:rsidRPr="009F5CB8">
        <w:rPr>
          <w:sz w:val="28"/>
          <w:szCs w:val="28"/>
        </w:rPr>
        <w:t>2.8.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Главой муниципального района о причинах отказа в участии в конкурсе.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9F5CB8" w:rsidRPr="009F5CB8" w:rsidRDefault="009F5CB8" w:rsidP="009F5CB8">
      <w:pPr>
        <w:ind w:firstLine="709"/>
        <w:jc w:val="both"/>
        <w:rPr>
          <w:sz w:val="28"/>
          <w:szCs w:val="28"/>
        </w:rPr>
      </w:pPr>
      <w:r w:rsidRPr="009F5CB8">
        <w:rPr>
          <w:sz w:val="28"/>
          <w:szCs w:val="28"/>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муниципального района может принять решение о проведении повторного конкурса.</w:t>
      </w:r>
    </w:p>
    <w:p w:rsidR="009F5CB8" w:rsidRPr="009F5CB8" w:rsidRDefault="009F5CB8" w:rsidP="009F5CB8">
      <w:pPr>
        <w:ind w:firstLine="709"/>
        <w:jc w:val="both"/>
        <w:rPr>
          <w:sz w:val="28"/>
          <w:szCs w:val="28"/>
        </w:rPr>
      </w:pPr>
      <w:r w:rsidRPr="009F5CB8">
        <w:rPr>
          <w:sz w:val="28"/>
          <w:szCs w:val="28"/>
        </w:rPr>
        <w:t>2.9. После проведенной проверки, информация о кандидатах на должность руководителя финансового отдела направляется в Министерство финансов Республики Марий Эл для согласования.</w:t>
      </w:r>
    </w:p>
    <w:p w:rsidR="009F5CB8" w:rsidRPr="009F5CB8" w:rsidRDefault="009F5CB8" w:rsidP="009F5CB8">
      <w:pPr>
        <w:ind w:firstLine="709"/>
        <w:jc w:val="both"/>
        <w:rPr>
          <w:sz w:val="28"/>
          <w:szCs w:val="28"/>
        </w:rPr>
      </w:pPr>
      <w:r w:rsidRPr="009F5CB8">
        <w:rPr>
          <w:sz w:val="28"/>
          <w:szCs w:val="28"/>
        </w:rPr>
        <w:t xml:space="preserve">2.10. Глава муниципального района не </w:t>
      </w:r>
      <w:proofErr w:type="gramStart"/>
      <w:r w:rsidRPr="009F5CB8">
        <w:rPr>
          <w:sz w:val="28"/>
          <w:szCs w:val="28"/>
        </w:rPr>
        <w:t>позднее</w:t>
      </w:r>
      <w:proofErr w:type="gramEnd"/>
      <w:r w:rsidRPr="009F5CB8">
        <w:rPr>
          <w:sz w:val="28"/>
          <w:szCs w:val="28"/>
        </w:rPr>
        <w:t xml:space="preserve"> чем за 15 дней до дня начала второго этапа конкурса направляет сообщение о дате, месте и времени его проведения гражданам (муниципальным служащим), допущенным к участию в конкурсе.</w:t>
      </w:r>
    </w:p>
    <w:p w:rsidR="009F5CB8" w:rsidRPr="009F5CB8" w:rsidRDefault="009F5CB8" w:rsidP="009F5CB8">
      <w:pPr>
        <w:ind w:firstLine="709"/>
        <w:jc w:val="both"/>
        <w:rPr>
          <w:sz w:val="28"/>
          <w:szCs w:val="28"/>
        </w:rPr>
      </w:pPr>
      <w:r w:rsidRPr="009F5CB8">
        <w:rPr>
          <w:sz w:val="28"/>
          <w:szCs w:val="28"/>
        </w:rPr>
        <w:t xml:space="preserve">2.11. Для проведения второго этапа конкурса решением сессии Собрания депутатов образуется конкурсная комиссия, утверждается ее состав, сроки и порядок работы, а также методика проведения конкурса. </w:t>
      </w:r>
    </w:p>
    <w:p w:rsidR="009F5CB8" w:rsidRPr="009F5CB8" w:rsidRDefault="009F5CB8" w:rsidP="009F5CB8">
      <w:pPr>
        <w:ind w:firstLine="709"/>
        <w:jc w:val="both"/>
        <w:rPr>
          <w:sz w:val="28"/>
          <w:szCs w:val="28"/>
        </w:rPr>
      </w:pPr>
      <w:r w:rsidRPr="009F5CB8">
        <w:rPr>
          <w:sz w:val="28"/>
          <w:szCs w:val="28"/>
        </w:rPr>
        <w:t>2.12.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При равенстве голосов решающим является голос председателя конкурсной комиссии.</w:t>
      </w:r>
    </w:p>
    <w:p w:rsidR="009F5CB8" w:rsidRPr="009F5CB8" w:rsidRDefault="009F5CB8" w:rsidP="009F5CB8">
      <w:pPr>
        <w:ind w:firstLine="709"/>
        <w:jc w:val="both"/>
        <w:rPr>
          <w:sz w:val="28"/>
          <w:szCs w:val="28"/>
        </w:rPr>
      </w:pPr>
      <w:r w:rsidRPr="009F5CB8">
        <w:rPr>
          <w:sz w:val="28"/>
          <w:szCs w:val="28"/>
        </w:rPr>
        <w:t>2.13. Соответствие кандидата на должность руководителя финансового отдела осуществляется путем проведения тестирования на знание Конституции Российской Федерации, федеральных законов, бюджетного законодательства Российской Федерации и иных нормативных актов, регулирующих бюджетные правоотношения, муниципальной службы и противодействия коррупции, а так же собеседования на заседании комиссии. При принятии решения учитываются заключения Министерства финансов Республики Марий Эл по кандидатам.</w:t>
      </w:r>
    </w:p>
    <w:p w:rsidR="009F5CB8" w:rsidRPr="009F5CB8" w:rsidRDefault="009F5CB8" w:rsidP="009F5CB8">
      <w:pPr>
        <w:ind w:firstLine="709"/>
        <w:jc w:val="both"/>
        <w:rPr>
          <w:sz w:val="28"/>
          <w:szCs w:val="28"/>
        </w:rPr>
      </w:pPr>
      <w:r w:rsidRPr="009F5CB8">
        <w:rPr>
          <w:sz w:val="28"/>
          <w:szCs w:val="28"/>
        </w:rPr>
        <w:t>2.14. Результаты голосования конкурсной комиссии оформляются решением в виде протокола, который подписывается председателем, секретарем и членами комиссии, принявшими участие в заседании. Кандидат вправе обжаловать решение конкурсной комиссии в соответствии с законодательством Российской Федерации.</w:t>
      </w:r>
    </w:p>
    <w:p w:rsidR="009F5CB8" w:rsidRPr="009F5CB8" w:rsidRDefault="009F5CB8" w:rsidP="009F5CB8">
      <w:pPr>
        <w:ind w:firstLine="709"/>
        <w:jc w:val="both"/>
        <w:rPr>
          <w:sz w:val="28"/>
          <w:szCs w:val="28"/>
        </w:rPr>
      </w:pPr>
    </w:p>
    <w:p w:rsidR="009F5CB8" w:rsidRPr="009F5CB8" w:rsidRDefault="009F5CB8" w:rsidP="009F5CB8">
      <w:pPr>
        <w:ind w:firstLine="709"/>
        <w:jc w:val="both"/>
        <w:rPr>
          <w:b/>
          <w:sz w:val="28"/>
          <w:szCs w:val="28"/>
        </w:rPr>
      </w:pPr>
      <w:r w:rsidRPr="009F5CB8">
        <w:rPr>
          <w:b/>
          <w:sz w:val="28"/>
          <w:szCs w:val="28"/>
        </w:rPr>
        <w:t xml:space="preserve">3. Увольнение с должности руководителя финансового отдела </w:t>
      </w:r>
    </w:p>
    <w:p w:rsidR="009F5CB8" w:rsidRPr="009F5CB8" w:rsidRDefault="009F5CB8" w:rsidP="009F5CB8">
      <w:pPr>
        <w:ind w:firstLine="709"/>
        <w:jc w:val="both"/>
        <w:rPr>
          <w:sz w:val="28"/>
          <w:szCs w:val="28"/>
        </w:rPr>
      </w:pPr>
      <w:r w:rsidRPr="009F5CB8">
        <w:rPr>
          <w:sz w:val="28"/>
          <w:szCs w:val="28"/>
        </w:rPr>
        <w:t>3.1. Основаниями увольнения с должности руководителя финансового отдела являются:</w:t>
      </w:r>
    </w:p>
    <w:p w:rsidR="009F5CB8" w:rsidRPr="009F5CB8" w:rsidRDefault="009F5CB8" w:rsidP="009F5CB8">
      <w:pPr>
        <w:ind w:firstLine="709"/>
        <w:jc w:val="both"/>
        <w:rPr>
          <w:sz w:val="28"/>
          <w:szCs w:val="28"/>
        </w:rPr>
      </w:pPr>
      <w:bookmarkStart w:id="1" w:name="dst477"/>
      <w:bookmarkEnd w:id="1"/>
      <w:r w:rsidRPr="009F5CB8">
        <w:rPr>
          <w:sz w:val="28"/>
          <w:szCs w:val="28"/>
        </w:rPr>
        <w:t>1) соглашение сторон;</w:t>
      </w:r>
    </w:p>
    <w:p w:rsidR="009F5CB8" w:rsidRPr="009F5CB8" w:rsidRDefault="009F5CB8" w:rsidP="009F5CB8">
      <w:pPr>
        <w:ind w:firstLine="709"/>
        <w:jc w:val="both"/>
        <w:rPr>
          <w:sz w:val="28"/>
          <w:szCs w:val="28"/>
        </w:rPr>
      </w:pPr>
      <w:bookmarkStart w:id="2" w:name="dst478"/>
      <w:bookmarkEnd w:id="2"/>
      <w:r w:rsidRPr="009F5CB8">
        <w:rPr>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F5CB8" w:rsidRPr="009F5CB8" w:rsidRDefault="009F5CB8" w:rsidP="009F5CB8">
      <w:pPr>
        <w:ind w:firstLine="709"/>
        <w:jc w:val="both"/>
        <w:rPr>
          <w:sz w:val="28"/>
          <w:szCs w:val="28"/>
        </w:rPr>
      </w:pPr>
      <w:bookmarkStart w:id="3" w:name="dst479"/>
      <w:bookmarkEnd w:id="3"/>
      <w:r w:rsidRPr="009F5CB8">
        <w:rPr>
          <w:sz w:val="28"/>
          <w:szCs w:val="28"/>
        </w:rPr>
        <w:t>3) расторжение трудового договора по инициативе работника;</w:t>
      </w:r>
    </w:p>
    <w:p w:rsidR="009F5CB8" w:rsidRPr="009F5CB8" w:rsidRDefault="009F5CB8" w:rsidP="009F5CB8">
      <w:pPr>
        <w:ind w:firstLine="709"/>
        <w:jc w:val="both"/>
        <w:rPr>
          <w:sz w:val="28"/>
          <w:szCs w:val="28"/>
        </w:rPr>
      </w:pPr>
      <w:r w:rsidRPr="009F5CB8">
        <w:rPr>
          <w:sz w:val="28"/>
          <w:szCs w:val="28"/>
        </w:rPr>
        <w:t xml:space="preserve">4) </w:t>
      </w:r>
      <w:hyperlink r:id="rId29" w:anchor="dst444" w:history="1">
        <w:r w:rsidRPr="009F5CB8">
          <w:rPr>
            <w:rStyle w:val="a5"/>
            <w:sz w:val="28"/>
            <w:szCs w:val="28"/>
          </w:rPr>
          <w:t>перевод</w:t>
        </w:r>
      </w:hyperlink>
      <w:r w:rsidRPr="009F5CB8">
        <w:rPr>
          <w:sz w:val="28"/>
          <w:szCs w:val="28"/>
        </w:rPr>
        <w:t xml:space="preserve"> работника по его просьбе или с его согласия на работу к другому работодателю или переход на выборную работу (должность);</w:t>
      </w:r>
    </w:p>
    <w:p w:rsidR="009F5CB8" w:rsidRPr="009F5CB8" w:rsidRDefault="009F5CB8" w:rsidP="009F5CB8">
      <w:pPr>
        <w:ind w:firstLine="709"/>
        <w:jc w:val="both"/>
        <w:rPr>
          <w:sz w:val="28"/>
          <w:szCs w:val="28"/>
        </w:rPr>
      </w:pPr>
      <w:bookmarkStart w:id="4" w:name="dst102580"/>
      <w:bookmarkEnd w:id="4"/>
      <w:r w:rsidRPr="009F5CB8">
        <w:rPr>
          <w:sz w:val="28"/>
          <w:szCs w:val="28"/>
        </w:rPr>
        <w:t>5) отказ работника от продолжения работы в связи с реорганизацией;</w:t>
      </w:r>
    </w:p>
    <w:p w:rsidR="009F5CB8" w:rsidRPr="009F5CB8" w:rsidRDefault="009F5CB8" w:rsidP="009F5CB8">
      <w:pPr>
        <w:ind w:firstLine="709"/>
        <w:jc w:val="both"/>
        <w:rPr>
          <w:sz w:val="28"/>
          <w:szCs w:val="28"/>
        </w:rPr>
      </w:pPr>
      <w:bookmarkStart w:id="5" w:name="dst483"/>
      <w:bookmarkEnd w:id="5"/>
      <w:r w:rsidRPr="009F5CB8">
        <w:rPr>
          <w:sz w:val="28"/>
          <w:szCs w:val="28"/>
        </w:rPr>
        <w:t>6) отказ работника от продолжения работы в связи с изменением определенных сторонами условий трудового договора;</w:t>
      </w:r>
    </w:p>
    <w:p w:rsidR="009F5CB8" w:rsidRPr="009F5CB8" w:rsidRDefault="009F5CB8" w:rsidP="009F5CB8">
      <w:pPr>
        <w:ind w:firstLine="709"/>
        <w:jc w:val="both"/>
        <w:rPr>
          <w:sz w:val="28"/>
          <w:szCs w:val="28"/>
        </w:rPr>
      </w:pPr>
      <w:bookmarkStart w:id="6" w:name="dst484"/>
      <w:bookmarkEnd w:id="6"/>
      <w:r w:rsidRPr="009F5CB8">
        <w:rPr>
          <w:sz w:val="28"/>
          <w:szCs w:val="28"/>
        </w:rPr>
        <w:t xml:space="preserve">7) отказ работника от перевода на другую работу, необходимого ему в соответствии с медицинским заключением, выданным в </w:t>
      </w:r>
      <w:hyperlink r:id="rId30" w:anchor="dst100009" w:history="1">
        <w:r w:rsidRPr="009F5CB8">
          <w:rPr>
            <w:rStyle w:val="a5"/>
            <w:sz w:val="28"/>
            <w:szCs w:val="28"/>
          </w:rPr>
          <w:t>порядке</w:t>
        </w:r>
      </w:hyperlink>
      <w:r w:rsidRPr="009F5CB8">
        <w:rPr>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9F5CB8" w:rsidRPr="009F5CB8" w:rsidRDefault="009F5CB8" w:rsidP="009F5CB8">
      <w:pPr>
        <w:ind w:firstLine="709"/>
        <w:jc w:val="both"/>
        <w:rPr>
          <w:sz w:val="28"/>
          <w:szCs w:val="28"/>
        </w:rPr>
      </w:pPr>
      <w:bookmarkStart w:id="7" w:name="dst480"/>
      <w:bookmarkEnd w:id="7"/>
      <w:r w:rsidRPr="009F5CB8">
        <w:rPr>
          <w:sz w:val="28"/>
          <w:szCs w:val="28"/>
        </w:rPr>
        <w:t>8) расторжение трудового договора по инициативе работодателя:</w:t>
      </w:r>
    </w:p>
    <w:p w:rsidR="009F5CB8" w:rsidRPr="009F5CB8" w:rsidRDefault="009F5CB8" w:rsidP="009F5CB8">
      <w:pPr>
        <w:ind w:firstLine="709"/>
        <w:jc w:val="both"/>
        <w:rPr>
          <w:sz w:val="28"/>
          <w:szCs w:val="28"/>
        </w:rPr>
      </w:pPr>
      <w:bookmarkStart w:id="8" w:name="dst481"/>
      <w:bookmarkStart w:id="9" w:name="dst485"/>
      <w:bookmarkStart w:id="10" w:name="dst486"/>
      <w:bookmarkEnd w:id="8"/>
      <w:bookmarkEnd w:id="9"/>
      <w:bookmarkEnd w:id="10"/>
      <w:r w:rsidRPr="009F5CB8">
        <w:rPr>
          <w:sz w:val="28"/>
          <w:szCs w:val="28"/>
        </w:rPr>
        <w:t>- достижения предельного возраста, установленного для замещения должности муниципальной службы;</w:t>
      </w:r>
    </w:p>
    <w:p w:rsidR="009F5CB8" w:rsidRPr="009F5CB8" w:rsidRDefault="009F5CB8" w:rsidP="009F5CB8">
      <w:pPr>
        <w:ind w:firstLine="709"/>
        <w:jc w:val="both"/>
        <w:rPr>
          <w:sz w:val="28"/>
          <w:szCs w:val="28"/>
        </w:rPr>
      </w:pPr>
      <w:bookmarkStart w:id="11" w:name="dst100174"/>
      <w:bookmarkEnd w:id="11"/>
      <w:proofErr w:type="gramStart"/>
      <w:r w:rsidRPr="009F5CB8">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9F5CB8">
        <w:rPr>
          <w:sz w:val="28"/>
          <w:szCs w:val="28"/>
        </w:rPr>
        <w:t xml:space="preserve"> с </w:t>
      </w:r>
      <w:proofErr w:type="gramStart"/>
      <w:r w:rsidRPr="009F5CB8">
        <w:rPr>
          <w:sz w:val="28"/>
          <w:szCs w:val="28"/>
        </w:rPr>
        <w:t>которым</w:t>
      </w:r>
      <w:proofErr w:type="gramEnd"/>
      <w:r w:rsidRPr="009F5CB8">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9F5CB8" w:rsidRPr="009F5CB8" w:rsidRDefault="009F5CB8" w:rsidP="009F5CB8">
      <w:pPr>
        <w:ind w:firstLine="709"/>
        <w:jc w:val="both"/>
        <w:rPr>
          <w:sz w:val="28"/>
          <w:szCs w:val="28"/>
        </w:rPr>
      </w:pPr>
      <w:bookmarkStart w:id="12" w:name="dst29"/>
      <w:bookmarkEnd w:id="12"/>
      <w:r w:rsidRPr="009F5CB8">
        <w:rPr>
          <w:sz w:val="28"/>
          <w:szCs w:val="28"/>
        </w:rPr>
        <w:t xml:space="preserve">- несоблюдения ограничений и запретов, связанных с муниципальной службой и установленных </w:t>
      </w:r>
      <w:hyperlink r:id="rId31" w:anchor="dst100092" w:history="1">
        <w:r w:rsidRPr="009F5CB8">
          <w:rPr>
            <w:rStyle w:val="a5"/>
            <w:sz w:val="28"/>
            <w:szCs w:val="28"/>
          </w:rPr>
          <w:t>статьями 13</w:t>
        </w:r>
      </w:hyperlink>
      <w:r w:rsidRPr="009F5CB8">
        <w:rPr>
          <w:sz w:val="28"/>
          <w:szCs w:val="28"/>
        </w:rPr>
        <w:t xml:space="preserve">, </w:t>
      </w:r>
      <w:hyperlink r:id="rId32" w:anchor="dst100104" w:history="1">
        <w:r w:rsidRPr="009F5CB8">
          <w:rPr>
            <w:rStyle w:val="a5"/>
            <w:sz w:val="28"/>
            <w:szCs w:val="28"/>
          </w:rPr>
          <w:t>14</w:t>
        </w:r>
      </w:hyperlink>
      <w:r w:rsidRPr="009F5CB8">
        <w:rPr>
          <w:sz w:val="28"/>
          <w:szCs w:val="28"/>
        </w:rPr>
        <w:t xml:space="preserve">, </w:t>
      </w:r>
      <w:hyperlink r:id="rId33" w:anchor="dst100289" w:history="1">
        <w:r w:rsidRPr="009F5CB8">
          <w:rPr>
            <w:rStyle w:val="a5"/>
            <w:sz w:val="28"/>
            <w:szCs w:val="28"/>
          </w:rPr>
          <w:t>14.1</w:t>
        </w:r>
      </w:hyperlink>
      <w:r w:rsidRPr="009F5CB8">
        <w:rPr>
          <w:sz w:val="28"/>
          <w:szCs w:val="28"/>
        </w:rPr>
        <w:t xml:space="preserve"> и </w:t>
      </w:r>
      <w:hyperlink r:id="rId34" w:anchor="dst41" w:history="1">
        <w:r w:rsidRPr="009F5CB8">
          <w:rPr>
            <w:rStyle w:val="a5"/>
            <w:sz w:val="28"/>
            <w:szCs w:val="28"/>
          </w:rPr>
          <w:t>15</w:t>
        </w:r>
      </w:hyperlink>
      <w:r w:rsidRPr="009F5CB8">
        <w:rPr>
          <w:sz w:val="28"/>
          <w:szCs w:val="28"/>
        </w:rPr>
        <w:t xml:space="preserve"> 25-ФЗ;</w:t>
      </w:r>
    </w:p>
    <w:p w:rsidR="009F5CB8" w:rsidRPr="009F5CB8" w:rsidRDefault="009F5CB8" w:rsidP="009F5CB8">
      <w:pPr>
        <w:ind w:firstLine="709"/>
        <w:jc w:val="both"/>
        <w:rPr>
          <w:sz w:val="28"/>
          <w:szCs w:val="28"/>
        </w:rPr>
      </w:pPr>
      <w:bookmarkStart w:id="13" w:name="dst8"/>
      <w:bookmarkEnd w:id="13"/>
      <w:r w:rsidRPr="009F5CB8">
        <w:rPr>
          <w:sz w:val="28"/>
          <w:szCs w:val="28"/>
        </w:rPr>
        <w:t xml:space="preserve">- применения административного наказания в виде </w:t>
      </w:r>
      <w:hyperlink r:id="rId35" w:anchor="dst100128" w:history="1">
        <w:r w:rsidRPr="009F5CB8">
          <w:rPr>
            <w:rStyle w:val="a5"/>
            <w:sz w:val="28"/>
            <w:szCs w:val="28"/>
          </w:rPr>
          <w:t>дисквалификации</w:t>
        </w:r>
      </w:hyperlink>
      <w:r w:rsidRPr="009F5CB8">
        <w:rPr>
          <w:sz w:val="28"/>
          <w:szCs w:val="28"/>
        </w:rPr>
        <w:t>.</w:t>
      </w:r>
    </w:p>
    <w:p w:rsidR="009F5CB8" w:rsidRPr="009F5CB8" w:rsidRDefault="009F5CB8" w:rsidP="009F5CB8">
      <w:pPr>
        <w:ind w:firstLine="709"/>
        <w:jc w:val="both"/>
        <w:rPr>
          <w:sz w:val="28"/>
          <w:szCs w:val="28"/>
        </w:rPr>
      </w:pPr>
      <w:bookmarkStart w:id="14" w:name="dst100176"/>
      <w:bookmarkEnd w:id="14"/>
      <w:r w:rsidRPr="009F5CB8">
        <w:rPr>
          <w:sz w:val="28"/>
          <w:szCs w:val="28"/>
        </w:rPr>
        <w:t>3.2. На период проведения конкурса на замещение вакантной должности руководителя финансового отдела, на руководителя финансового отдела могут быть возложены временное исполнение обязанностей руководителя финансового отдела, в случае отказа, временное исполнение обязанностей возлагается на заместителя руководителя финансового отдела либо на иное уполномоченное лицо.</w:t>
      </w:r>
    </w:p>
    <w:p w:rsidR="009F5CB8" w:rsidRPr="009F5CB8" w:rsidRDefault="009F5CB8" w:rsidP="009F5CB8">
      <w:pPr>
        <w:rPr>
          <w:sz w:val="28"/>
          <w:szCs w:val="28"/>
        </w:rPr>
      </w:pPr>
    </w:p>
    <w:p w:rsidR="000C31D4" w:rsidRPr="009F5CB8" w:rsidRDefault="000C31D4">
      <w:pPr>
        <w:rPr>
          <w:sz w:val="28"/>
          <w:szCs w:val="28"/>
        </w:rPr>
      </w:pPr>
    </w:p>
    <w:sectPr w:rsidR="000C31D4" w:rsidRPr="009F5CB8"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9F5CB8"/>
    <w:rsid w:val="00011AE2"/>
    <w:rsid w:val="00021A68"/>
    <w:rsid w:val="0003633E"/>
    <w:rsid w:val="000C31D4"/>
    <w:rsid w:val="0013258B"/>
    <w:rsid w:val="00185969"/>
    <w:rsid w:val="00216A9F"/>
    <w:rsid w:val="003B43E2"/>
    <w:rsid w:val="00425811"/>
    <w:rsid w:val="00502EE9"/>
    <w:rsid w:val="00516226"/>
    <w:rsid w:val="006B1594"/>
    <w:rsid w:val="006E1CEC"/>
    <w:rsid w:val="007064E8"/>
    <w:rsid w:val="0074125E"/>
    <w:rsid w:val="008105E1"/>
    <w:rsid w:val="008B6734"/>
    <w:rsid w:val="00974DCA"/>
    <w:rsid w:val="009F5CB8"/>
    <w:rsid w:val="00AF1C7D"/>
    <w:rsid w:val="00B024B3"/>
    <w:rsid w:val="00B54B49"/>
    <w:rsid w:val="00C524D5"/>
    <w:rsid w:val="00C74DF3"/>
    <w:rsid w:val="00D4237C"/>
    <w:rsid w:val="00D85E36"/>
    <w:rsid w:val="00D8783A"/>
    <w:rsid w:val="00DA75C5"/>
    <w:rsid w:val="00DF3B22"/>
    <w:rsid w:val="00EA6241"/>
    <w:rsid w:val="00F2075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CB8"/>
    <w:rPr>
      <w:rFonts w:ascii="Tahoma" w:hAnsi="Tahoma" w:cs="Tahoma"/>
      <w:sz w:val="16"/>
      <w:szCs w:val="16"/>
    </w:rPr>
  </w:style>
  <w:style w:type="character" w:customStyle="1" w:styleId="a4">
    <w:name w:val="Текст выноски Знак"/>
    <w:basedOn w:val="a0"/>
    <w:link w:val="a3"/>
    <w:uiPriority w:val="99"/>
    <w:semiHidden/>
    <w:rsid w:val="009F5CB8"/>
    <w:rPr>
      <w:rFonts w:ascii="Tahoma" w:eastAsia="Times New Roman" w:hAnsi="Tahoma" w:cs="Tahoma"/>
      <w:sz w:val="16"/>
      <w:szCs w:val="16"/>
      <w:lang w:eastAsia="ru-RU"/>
    </w:rPr>
  </w:style>
  <w:style w:type="character" w:styleId="a5">
    <w:name w:val="Hyperlink"/>
    <w:basedOn w:val="a0"/>
    <w:uiPriority w:val="99"/>
    <w:unhideWhenUsed/>
    <w:rsid w:val="009F5CB8"/>
    <w:rPr>
      <w:color w:val="0000FF" w:themeColor="hyperlink"/>
      <w:u w:val="single"/>
    </w:rPr>
  </w:style>
  <w:style w:type="table" w:styleId="a6">
    <w:name w:val="Table Grid"/>
    <w:basedOn w:val="a1"/>
    <w:uiPriority w:val="59"/>
    <w:rsid w:val="009F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GTranslate('ru|ko')" TargetMode="External"/><Relationship Id="rId13" Type="http://schemas.openxmlformats.org/officeDocument/2006/relationships/hyperlink" Target="javascript:doGTranslate('ru|lv')" TargetMode="External"/><Relationship Id="rId18" Type="http://schemas.openxmlformats.org/officeDocument/2006/relationships/hyperlink" Target="javascript:doGTranslate('ru|mt')" TargetMode="External"/><Relationship Id="rId26" Type="http://schemas.openxmlformats.org/officeDocument/2006/relationships/hyperlink" Target="javascript:doGTranslate('ru|fa')" TargetMode="External"/><Relationship Id="rId3" Type="http://schemas.openxmlformats.org/officeDocument/2006/relationships/webSettings" Target="webSettings.xml"/><Relationship Id="rId21" Type="http://schemas.openxmlformats.org/officeDocument/2006/relationships/hyperlink" Target="javascript:doGTranslate('ru|mn')" TargetMode="External"/><Relationship Id="rId34" Type="http://schemas.openxmlformats.org/officeDocument/2006/relationships/hyperlink" Target="http://www.consultant.ru/document/cons_doc_LAW_314864/24c76fc8ec7caf441d3673e740474c825f4ca53e/" TargetMode="External"/><Relationship Id="rId7" Type="http://schemas.openxmlformats.org/officeDocument/2006/relationships/hyperlink" Target="javascript:doGTranslate('ru|jw')" TargetMode="External"/><Relationship Id="rId12" Type="http://schemas.openxmlformats.org/officeDocument/2006/relationships/hyperlink" Target="javascript:doGTranslate('ru|la')" TargetMode="External"/><Relationship Id="rId17" Type="http://schemas.openxmlformats.org/officeDocument/2006/relationships/hyperlink" Target="javascript:doGTranslate('ru|ml')" TargetMode="External"/><Relationship Id="rId25" Type="http://schemas.openxmlformats.org/officeDocument/2006/relationships/hyperlink" Target="javascript:doGTranslate('ru|ps')" TargetMode="External"/><Relationship Id="rId33" Type="http://schemas.openxmlformats.org/officeDocument/2006/relationships/hyperlink" Target="http://www.consultant.ru/document/cons_doc_LAW_314864/f3572bc102ecafff099e62d75e8bee5da8233030/" TargetMode="External"/><Relationship Id="rId2" Type="http://schemas.openxmlformats.org/officeDocument/2006/relationships/settings" Target="settings.xml"/><Relationship Id="rId16" Type="http://schemas.openxmlformats.org/officeDocument/2006/relationships/hyperlink" Target="javascript:doGTranslate('ru|ms')" TargetMode="External"/><Relationship Id="rId20" Type="http://schemas.openxmlformats.org/officeDocument/2006/relationships/hyperlink" Target="javascript:doGTranslate('ru|mr')" TargetMode="External"/><Relationship Id="rId29" Type="http://schemas.openxmlformats.org/officeDocument/2006/relationships/hyperlink" Target="http://www.consultant.ru/document/cons_doc_LAW_321526/2315ae0ae1def4974210e079fff7f446e754504d/"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javascript:doGTranslate('ru|lo')" TargetMode="External"/><Relationship Id="rId24" Type="http://schemas.openxmlformats.org/officeDocument/2006/relationships/hyperlink" Target="javascript:doGTranslate('ru|no')" TargetMode="External"/><Relationship Id="rId32" Type="http://schemas.openxmlformats.org/officeDocument/2006/relationships/hyperlink" Target="http://www.consultant.ru/document/cons_doc_LAW_314864/0e27b65ea87acd6ae64bf6ba3df4ef07fd637e84/" TargetMode="External"/><Relationship Id="rId37" Type="http://schemas.openxmlformats.org/officeDocument/2006/relationships/theme" Target="theme/theme1.xml"/><Relationship Id="rId5" Type="http://schemas.openxmlformats.org/officeDocument/2006/relationships/hyperlink" Target="javascript:doGTranslate('ru|it')" TargetMode="External"/><Relationship Id="rId15" Type="http://schemas.openxmlformats.org/officeDocument/2006/relationships/hyperlink" Target="javascript:doGTranslate('ru|lb')" TargetMode="External"/><Relationship Id="rId23" Type="http://schemas.openxmlformats.org/officeDocument/2006/relationships/hyperlink" Target="javascript:doGTranslate('ru|ne')" TargetMode="External"/><Relationship Id="rId28" Type="http://schemas.openxmlformats.org/officeDocument/2006/relationships/hyperlink" Target="consultantplus://offline/ref=80A815D0DCBD9519D6315F6C7F0497E63CCE8805D93E2D5EDD37F649019B5865899FEE43EDEE5DQ36DG" TargetMode="External"/><Relationship Id="rId36" Type="http://schemas.openxmlformats.org/officeDocument/2006/relationships/fontTable" Target="fontTable.xml"/><Relationship Id="rId10" Type="http://schemas.openxmlformats.org/officeDocument/2006/relationships/hyperlink" Target="javascript:doGTranslate('ru|ky')" TargetMode="External"/><Relationship Id="rId19" Type="http://schemas.openxmlformats.org/officeDocument/2006/relationships/hyperlink" Target="javascript:doGTranslate('ru|mi')" TargetMode="External"/><Relationship Id="rId31" Type="http://schemas.openxmlformats.org/officeDocument/2006/relationships/hyperlink" Target="http://www.consultant.ru/document/cons_doc_LAW_314864/60b9f2291f27bfbb8b1b8270ff888276d66bb1e8/" TargetMode="External"/><Relationship Id="rId4" Type="http://schemas.openxmlformats.org/officeDocument/2006/relationships/image" Target="media/image1.jpeg"/><Relationship Id="rId9" Type="http://schemas.openxmlformats.org/officeDocument/2006/relationships/hyperlink" Target="javascript:doGTranslate('ru|ku')" TargetMode="External"/><Relationship Id="rId14" Type="http://schemas.openxmlformats.org/officeDocument/2006/relationships/hyperlink" Target="javascript:doGTranslate('ru|lt')" TargetMode="External"/><Relationship Id="rId22" Type="http://schemas.openxmlformats.org/officeDocument/2006/relationships/hyperlink" Target="javascript:doGTranslate('ru|my')" TargetMode="External"/><Relationship Id="rId27" Type="http://schemas.openxmlformats.org/officeDocument/2006/relationships/hyperlink" Target="javascript:doGTranslate('ru|pa')" TargetMode="External"/><Relationship Id="rId30" Type="http://schemas.openxmlformats.org/officeDocument/2006/relationships/hyperlink" Target="http://www.consultant.ru/document/cons_doc_LAW_130508/" TargetMode="External"/><Relationship Id="rId35" Type="http://schemas.openxmlformats.org/officeDocument/2006/relationships/hyperlink" Target="http://www.consultant.ru/document/cons_doc_LAW_316458/393496c584137cc52c41c5fbbe7d66d5eaa40a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Yashin-EV</dc:creator>
  <cp:keywords/>
  <dc:description/>
  <cp:lastModifiedBy>Yashin-EV</cp:lastModifiedBy>
  <cp:revision>2</cp:revision>
  <dcterms:created xsi:type="dcterms:W3CDTF">2019-09-16T05:07:00Z</dcterms:created>
  <dcterms:modified xsi:type="dcterms:W3CDTF">2019-09-16T05:13:00Z</dcterms:modified>
</cp:coreProperties>
</file>