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631"/>
        <w:gridCol w:w="222"/>
      </w:tblGrid>
      <w:tr w:rsidR="00A04C68" w:rsidRPr="00845E1E" w:rsidTr="00A04C68">
        <w:trPr>
          <w:trHeight w:val="458"/>
        </w:trPr>
        <w:tc>
          <w:tcPr>
            <w:tcW w:w="4724" w:type="dxa"/>
          </w:tcPr>
          <w:tbl>
            <w:tblPr>
              <w:tblW w:w="9484" w:type="dxa"/>
              <w:tblLook w:val="04A0"/>
            </w:tblPr>
            <w:tblGrid>
              <w:gridCol w:w="4889"/>
              <w:gridCol w:w="4595"/>
            </w:tblGrid>
            <w:tr w:rsidR="00A04C68" w:rsidRPr="00845E1E" w:rsidTr="00A04C68">
              <w:trPr>
                <w:trHeight w:val="601"/>
              </w:trPr>
              <w:tc>
                <w:tcPr>
                  <w:tcW w:w="4889" w:type="dxa"/>
                </w:tcPr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МАРИЙ ЭЛ РЕСПУБЛИК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ЗВЕНИГОВО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МУНИЦИПАЛ РАЙОН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ЧЕРНООЗЁРСКИЙ ЯЛ КУНДЕМЫН АДМИНИСТРАЦИЙЖЕ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ПУНЧАЛЖЕ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95" w:type="dxa"/>
                </w:tcPr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ЧЕРНООЗЕРСКАЯ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СЕЛЬСКАЯ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АДМИНИСТРАЦИЯ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ЗВЕНИГОВСКОГО</w:t>
                  </w:r>
                </w:p>
                <w:p w:rsidR="00A04C68" w:rsidRPr="00143C2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143C2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МУНИЦИПАЛЬНОГО РАЙОНА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04C6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РЕСПУБЛИКИ МАРИЙ ЭЛ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04C68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ПОСТАНОВЛЕНИЕ</w:t>
                  </w:r>
                </w:p>
                <w:p w:rsidR="00A04C68" w:rsidRPr="00A04C68" w:rsidRDefault="00A04C68" w:rsidP="007C385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A04C68" w:rsidRDefault="00A04C68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>от «</w:t>
            </w:r>
            <w:r w:rsidR="00845E1E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 </w:t>
            </w:r>
            <w:r w:rsidR="00845E1E">
              <w:rPr>
                <w:rFonts w:ascii="Times New Roman" w:hAnsi="Times New Roman"/>
                <w:sz w:val="28"/>
                <w:szCs w:val="28"/>
                <w:lang w:val="ru-RU"/>
              </w:rPr>
              <w:t>дек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845E1E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>ря 202</w:t>
            </w:r>
            <w:r w:rsidR="00845E1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143C2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                                                  № </w:t>
            </w:r>
            <w:r w:rsidR="00845E1E"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</w:p>
          <w:p w:rsidR="00A04C68" w:rsidRPr="00A04C68" w:rsidRDefault="00A04C68" w:rsidP="007C385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21" w:type="dxa"/>
          </w:tcPr>
          <w:p w:rsidR="00A04C68" w:rsidRPr="00A04C68" w:rsidRDefault="00A04C68" w:rsidP="007C385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66BD1" w:rsidRDefault="00866BD1" w:rsidP="00866BD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программы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(ущерба) охраняемым законом ценностям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при осуществлении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муниципального жилищного контроля на 2022 год</w:t>
      </w:r>
    </w:p>
    <w:p w:rsidR="00866BD1" w:rsidRDefault="00866BD1" w:rsidP="00866BD1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866BD1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  <w:lang w:val="ru-RU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  <w:lang w:val="ru-RU"/>
        </w:rPr>
        <w:br/>
        <w:t>в Российской Федерации», со</w:t>
      </w:r>
      <w:r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статьей 44</w:t>
      </w:r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руководствуясь Уставом </w:t>
      </w:r>
      <w:r w:rsidR="00A04C68">
        <w:rPr>
          <w:rFonts w:ascii="Times New Roman" w:hAnsi="Times New Roman"/>
          <w:color w:val="000000"/>
          <w:sz w:val="28"/>
          <w:szCs w:val="28"/>
          <w:lang w:val="ru-RU" w:bidi="ru-RU"/>
        </w:rPr>
        <w:t>Черноозе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рского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04C68">
        <w:rPr>
          <w:rFonts w:ascii="Times New Roman" w:hAnsi="Times New Roman"/>
          <w:sz w:val="28"/>
          <w:szCs w:val="28"/>
          <w:lang w:val="ru-RU"/>
        </w:rPr>
        <w:t>Черноозе</w:t>
      </w:r>
      <w:r>
        <w:rPr>
          <w:rFonts w:ascii="Times New Roman" w:hAnsi="Times New Roman"/>
          <w:sz w:val="28"/>
          <w:szCs w:val="28"/>
          <w:lang w:val="ru-RU"/>
        </w:rPr>
        <w:t>рская сельская администрация</w:t>
      </w:r>
    </w:p>
    <w:p w:rsidR="00866BD1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BD1" w:rsidRDefault="00866BD1" w:rsidP="00866BD1">
      <w:pPr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постановляет:</w:t>
      </w:r>
    </w:p>
    <w:p w:rsidR="00866BD1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BD1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 Утвердить программу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>
        <w:rPr>
          <w:rFonts w:ascii="Times New Roman" w:hAnsi="Times New Roman"/>
          <w:bCs/>
          <w:sz w:val="28"/>
          <w:szCs w:val="28"/>
          <w:lang w:val="ru-RU"/>
        </w:rPr>
        <w:t>(ущерба) охраняемым законом ценностям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 осуществлении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муниципального жилищного контроля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на 2022 год </w:t>
      </w:r>
      <w:r>
        <w:rPr>
          <w:rFonts w:ascii="Times New Roman" w:hAnsi="Times New Roman"/>
          <w:sz w:val="28"/>
          <w:szCs w:val="28"/>
          <w:lang w:val="ru-RU"/>
        </w:rPr>
        <w:t>(прилагается).</w:t>
      </w:r>
    </w:p>
    <w:p w:rsidR="00866BD1" w:rsidRDefault="00866BD1" w:rsidP="00866BD1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bookmarkStart w:id="0" w:name="_Hlk86825878"/>
      <w:r>
        <w:rPr>
          <w:rFonts w:ascii="Times New Roman" w:hAnsi="Times New Roman"/>
          <w:sz w:val="28"/>
          <w:szCs w:val="28"/>
          <w:lang w:val="ru-RU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Настоящее постановление вступает в силу п</w:t>
      </w:r>
      <w:r w:rsidR="00A04C68">
        <w:rPr>
          <w:rFonts w:ascii="Times New Roman" w:hAnsi="Times New Roman"/>
          <w:color w:val="000000"/>
          <w:sz w:val="28"/>
          <w:szCs w:val="28"/>
          <w:lang w:val="ru-RU"/>
        </w:rPr>
        <w:t>осле его обнародования.</w:t>
      </w:r>
    </w:p>
    <w:p w:rsidR="00866BD1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оставлю за собой.</w:t>
      </w:r>
    </w:p>
    <w:p w:rsidR="00866BD1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BD1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6BD1" w:rsidRDefault="00866BD1" w:rsidP="00866BD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администрации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04C68">
        <w:rPr>
          <w:rFonts w:ascii="Times New Roman" w:hAnsi="Times New Roman"/>
          <w:sz w:val="28"/>
          <w:szCs w:val="28"/>
          <w:lang w:val="ru-RU"/>
        </w:rPr>
        <w:t>О.А.Михайлова</w:t>
      </w:r>
    </w:p>
    <w:p w:rsidR="00866BD1" w:rsidRDefault="00866BD1" w:rsidP="00866BD1">
      <w:pPr>
        <w:jc w:val="both"/>
        <w:rPr>
          <w:sz w:val="28"/>
          <w:szCs w:val="28"/>
        </w:rPr>
      </w:pPr>
    </w:p>
    <w:p w:rsidR="00866BD1" w:rsidRDefault="00866BD1" w:rsidP="00866BD1">
      <w:pPr>
        <w:pStyle w:val="Default"/>
        <w:rPr>
          <w:sz w:val="28"/>
          <w:szCs w:val="28"/>
        </w:rPr>
      </w:pPr>
    </w:p>
    <w:p w:rsidR="00866BD1" w:rsidRDefault="00866BD1" w:rsidP="00866BD1">
      <w:pPr>
        <w:pStyle w:val="Default"/>
        <w:rPr>
          <w:sz w:val="28"/>
          <w:szCs w:val="28"/>
        </w:rPr>
      </w:pPr>
    </w:p>
    <w:p w:rsidR="00866BD1" w:rsidRDefault="00866BD1" w:rsidP="00866BD1">
      <w:pPr>
        <w:pStyle w:val="Default"/>
        <w:rPr>
          <w:sz w:val="28"/>
          <w:szCs w:val="28"/>
        </w:rPr>
      </w:pPr>
    </w:p>
    <w:p w:rsidR="00CA559A" w:rsidRDefault="00CA559A" w:rsidP="00866BD1">
      <w:pPr>
        <w:pStyle w:val="Default"/>
        <w:rPr>
          <w:sz w:val="28"/>
          <w:szCs w:val="28"/>
        </w:rPr>
      </w:pPr>
    </w:p>
    <w:p w:rsidR="00CA559A" w:rsidRDefault="00CA559A" w:rsidP="00866BD1">
      <w:pPr>
        <w:pStyle w:val="Default"/>
        <w:rPr>
          <w:sz w:val="28"/>
          <w:szCs w:val="28"/>
        </w:rPr>
      </w:pPr>
    </w:p>
    <w:p w:rsidR="00CA559A" w:rsidRDefault="00CA559A" w:rsidP="00866BD1">
      <w:pPr>
        <w:pStyle w:val="Default"/>
        <w:rPr>
          <w:sz w:val="28"/>
          <w:szCs w:val="28"/>
        </w:rPr>
      </w:pPr>
    </w:p>
    <w:p w:rsidR="00866BD1" w:rsidRDefault="00866BD1" w:rsidP="00866BD1">
      <w:pPr>
        <w:pStyle w:val="Default"/>
        <w:rPr>
          <w:sz w:val="28"/>
          <w:szCs w:val="28"/>
        </w:rPr>
      </w:pPr>
    </w:p>
    <w:bookmarkEnd w:id="0"/>
    <w:tbl>
      <w:tblPr>
        <w:tblW w:w="0" w:type="auto"/>
        <w:tblLook w:val="01E0"/>
      </w:tblPr>
      <w:tblGrid>
        <w:gridCol w:w="4596"/>
        <w:gridCol w:w="4759"/>
      </w:tblGrid>
      <w:tr w:rsidR="00866BD1" w:rsidRPr="00845E1E" w:rsidTr="00866BD1">
        <w:tc>
          <w:tcPr>
            <w:tcW w:w="4596" w:type="dxa"/>
          </w:tcPr>
          <w:p w:rsidR="00866BD1" w:rsidRDefault="00866BD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866BD1" w:rsidRDefault="00866BD1">
            <w:pPr>
              <w:pStyle w:val="Default"/>
              <w:jc w:val="center"/>
            </w:pPr>
            <w:r>
              <w:t xml:space="preserve">Утверждена </w:t>
            </w:r>
          </w:p>
          <w:p w:rsidR="00866BD1" w:rsidRDefault="00866BD1">
            <w:pPr>
              <w:pStyle w:val="Default"/>
              <w:jc w:val="center"/>
            </w:pPr>
            <w:r>
              <w:t xml:space="preserve">постановлением </w:t>
            </w:r>
            <w:r w:rsidR="00A04C68">
              <w:t>Черноозе</w:t>
            </w:r>
            <w:r>
              <w:t>рской сельской администрации</w:t>
            </w:r>
          </w:p>
          <w:p w:rsidR="00866BD1" w:rsidRDefault="00866BD1">
            <w:pPr>
              <w:pStyle w:val="Default"/>
              <w:jc w:val="center"/>
            </w:pPr>
            <w:r>
              <w:t xml:space="preserve"> от </w:t>
            </w:r>
            <w:r w:rsidRPr="00A04C68">
              <w:rPr>
                <w:color w:val="FF0000"/>
              </w:rPr>
              <w:t>«</w:t>
            </w:r>
            <w:r w:rsidR="00845E1E">
              <w:rPr>
                <w:color w:val="FF0000"/>
              </w:rPr>
              <w:t>30</w:t>
            </w:r>
            <w:r w:rsidRPr="00A04C68">
              <w:rPr>
                <w:color w:val="FF0000"/>
              </w:rPr>
              <w:t xml:space="preserve">» декабря 2021 г. № </w:t>
            </w:r>
            <w:r w:rsidR="00845E1E">
              <w:rPr>
                <w:color w:val="FF0000"/>
              </w:rPr>
              <w:t>7</w:t>
            </w:r>
            <w:r w:rsidRPr="00A04C68">
              <w:rPr>
                <w:color w:val="FF0000"/>
              </w:rPr>
              <w:t>3</w:t>
            </w:r>
          </w:p>
          <w:p w:rsidR="00866BD1" w:rsidRDefault="00866BD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66BD1" w:rsidRDefault="00866BD1" w:rsidP="00866BD1">
      <w:pPr>
        <w:pStyle w:val="Default"/>
        <w:jc w:val="center"/>
        <w:rPr>
          <w:sz w:val="28"/>
          <w:szCs w:val="28"/>
        </w:rPr>
      </w:pPr>
    </w:p>
    <w:p w:rsidR="00866BD1" w:rsidRDefault="00866BD1" w:rsidP="00866B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Программа профилактики </w:t>
      </w:r>
      <w:r>
        <w:rPr>
          <w:rFonts w:ascii="Times New Roman" w:hAnsi="Times New Roman"/>
          <w:b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>
        <w:rPr>
          <w:rFonts w:ascii="Times New Roman" w:hAnsi="Times New Roman"/>
          <w:b/>
          <w:sz w:val="26"/>
          <w:szCs w:val="26"/>
          <w:lang w:val="ru-RU"/>
        </w:rPr>
        <w:t>(ущерба) охраняемым законом ценностям</w:t>
      </w:r>
      <w:r>
        <w:rPr>
          <w:rFonts w:ascii="Times New Roman" w:eastAsia="Calibri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при осуществлении</w:t>
      </w:r>
      <w:r>
        <w:rPr>
          <w:rFonts w:ascii="Times New Roman" w:eastAsia="Calibri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муниципального жилищного контроля на 2022 год</w:t>
      </w:r>
    </w:p>
    <w:p w:rsidR="00866BD1" w:rsidRDefault="00866BD1" w:rsidP="00866BD1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рисков причинения вреда (ущерба) охраняемым законом ценностям в области осуществления муниципального жилищного контроля на территории </w:t>
      </w:r>
      <w:r w:rsidR="00A04C68">
        <w:rPr>
          <w:rFonts w:ascii="Times New Roman" w:hAnsi="Times New Roman"/>
          <w:sz w:val="26"/>
          <w:szCs w:val="26"/>
          <w:lang w:val="ru-RU"/>
        </w:rPr>
        <w:t>Черноозе</w:t>
      </w:r>
      <w:r>
        <w:rPr>
          <w:rFonts w:ascii="Times New Roman" w:hAnsi="Times New Roman"/>
          <w:sz w:val="26"/>
          <w:szCs w:val="26"/>
          <w:lang w:val="ru-RU"/>
        </w:rPr>
        <w:t>рского сельского поселения Звениговского муниципального района Республики Марий Эл.</w:t>
      </w:r>
    </w:p>
    <w:p w:rsidR="00866BD1" w:rsidRDefault="00866BD1" w:rsidP="00866BD1">
      <w:pPr>
        <w:pStyle w:val="Default"/>
        <w:rPr>
          <w:i/>
          <w:iCs/>
          <w:sz w:val="26"/>
          <w:szCs w:val="26"/>
        </w:rPr>
      </w:pPr>
    </w:p>
    <w:p w:rsidR="00866BD1" w:rsidRDefault="00866BD1" w:rsidP="00866BD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ПРОГРАММЫ</w:t>
      </w:r>
    </w:p>
    <w:p w:rsidR="00866BD1" w:rsidRDefault="00866BD1" w:rsidP="00866BD1">
      <w:pPr>
        <w:pStyle w:val="Default"/>
        <w:jc w:val="center"/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233"/>
      </w:tblGrid>
      <w:tr w:rsidR="00866BD1" w:rsidRPr="00845E1E" w:rsidTr="00866BD1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профилактики рисков причинения вреда охраняемым законом ценностям в области осуществления муниципального жилищного контроля на 2022 год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(далее – Программа профилактики).</w:t>
            </w:r>
          </w:p>
        </w:tc>
      </w:tr>
      <w:tr w:rsidR="00866BD1" w:rsidRPr="00845E1E" w:rsidTr="00866BD1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66BD1" w:rsidRDefault="00866BD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66BD1" w:rsidTr="00866BD1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A04C68" w:rsidP="00A04C68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Черноозер</w:t>
            </w:r>
            <w:r w:rsidR="00866BD1">
              <w:rPr>
                <w:sz w:val="26"/>
                <w:szCs w:val="26"/>
              </w:rPr>
              <w:t>ская сельская администрация</w:t>
            </w:r>
          </w:p>
        </w:tc>
      </w:tr>
      <w:tr w:rsidR="00866BD1" w:rsidTr="00866BD1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2022 год</w:t>
            </w:r>
          </w:p>
        </w:tc>
      </w:tr>
      <w:tr w:rsidR="00866BD1" w:rsidTr="00866BD1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  <w:r w:rsidR="00A04C68">
              <w:rPr>
                <w:sz w:val="26"/>
                <w:szCs w:val="26"/>
              </w:rPr>
              <w:t>Черноозерского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866BD1" w:rsidRPr="00845E1E" w:rsidTr="00866BD1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tabs>
                <w:tab w:val="left" w:pos="1535"/>
              </w:tabs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ru-RU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866BD1" w:rsidRDefault="00866BD1">
            <w:pPr>
              <w:tabs>
                <w:tab w:val="left" w:pos="1535"/>
              </w:tabs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val="ru-RU"/>
              </w:rPr>
              <w:t>2. Повышение качества предоставляемых услуг населению.</w:t>
            </w:r>
          </w:p>
          <w:p w:rsidR="00866BD1" w:rsidRDefault="00866BD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 Повышение правосознания и правовой культуры контролируемых лиц.</w:t>
            </w:r>
          </w:p>
        </w:tc>
      </w:tr>
    </w:tbl>
    <w:p w:rsidR="00866BD1" w:rsidRDefault="00866BD1" w:rsidP="00866BD1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866BD1" w:rsidRDefault="00866BD1" w:rsidP="00866BD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Раздел 1. </w:t>
      </w:r>
      <w:bookmarkStart w:id="1" w:name="_Hlk86827826"/>
      <w:r>
        <w:rPr>
          <w:rFonts w:ascii="Times New Roman" w:hAnsi="Times New Roman"/>
          <w:b/>
          <w:sz w:val="26"/>
          <w:szCs w:val="26"/>
          <w:lang w:val="ru-RU"/>
        </w:rPr>
        <w:t>Анализ и оценка состояния подконтрольной сферы.</w:t>
      </w:r>
      <w:bookmarkEnd w:id="1"/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Муниципальный жилищный контроль осуществляется посредством: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1) осуществления мероприятий по профилактике нарушений обязательных требований;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Объектами муниципального контроля являются: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  <w:proofErr w:type="gramEnd"/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  <w:proofErr w:type="gramEnd"/>
    </w:p>
    <w:p w:rsidR="00866BD1" w:rsidRDefault="00866BD1" w:rsidP="00965873">
      <w:pPr>
        <w:pStyle w:val="msonormalbullet2gif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r w:rsidR="00A04C68">
        <w:rPr>
          <w:sz w:val="26"/>
          <w:szCs w:val="26"/>
        </w:rPr>
        <w:t>Черноозерского</w:t>
      </w:r>
      <w:r>
        <w:rPr>
          <w:sz w:val="26"/>
          <w:szCs w:val="26"/>
        </w:rPr>
        <w:t xml:space="preserve"> сельского поселения имеется </w:t>
      </w:r>
      <w:r w:rsidR="00A04C68">
        <w:rPr>
          <w:sz w:val="26"/>
          <w:szCs w:val="26"/>
        </w:rPr>
        <w:t>38</w:t>
      </w:r>
      <w:r>
        <w:rPr>
          <w:sz w:val="26"/>
          <w:szCs w:val="26"/>
        </w:rPr>
        <w:t xml:space="preserve"> </w:t>
      </w:r>
      <w:r w:rsidR="00A04C68">
        <w:rPr>
          <w:sz w:val="26"/>
          <w:szCs w:val="26"/>
        </w:rPr>
        <w:t xml:space="preserve">двух-четырех </w:t>
      </w:r>
      <w:r>
        <w:rPr>
          <w:sz w:val="26"/>
          <w:szCs w:val="26"/>
        </w:rPr>
        <w:t>квартирных домов, из них  аварийны</w:t>
      </w:r>
      <w:r w:rsidR="00A04C68">
        <w:rPr>
          <w:sz w:val="26"/>
          <w:szCs w:val="26"/>
        </w:rPr>
        <w:t>х</w:t>
      </w:r>
      <w:r>
        <w:rPr>
          <w:sz w:val="26"/>
          <w:szCs w:val="26"/>
        </w:rPr>
        <w:t xml:space="preserve"> и подлежащи</w:t>
      </w:r>
      <w:r w:rsidR="00A04C68">
        <w:rPr>
          <w:sz w:val="26"/>
          <w:szCs w:val="26"/>
        </w:rPr>
        <w:t>х</w:t>
      </w:r>
      <w:r>
        <w:rPr>
          <w:sz w:val="26"/>
          <w:szCs w:val="26"/>
        </w:rPr>
        <w:t xml:space="preserve"> сносу</w:t>
      </w:r>
      <w:r w:rsidR="00A04C68">
        <w:rPr>
          <w:sz w:val="26"/>
          <w:szCs w:val="26"/>
        </w:rPr>
        <w:t xml:space="preserve"> нет</w:t>
      </w:r>
      <w:r>
        <w:rPr>
          <w:sz w:val="26"/>
          <w:szCs w:val="26"/>
        </w:rPr>
        <w:t xml:space="preserve">. </w:t>
      </w:r>
      <w:r w:rsidR="00A04C68">
        <w:rPr>
          <w:sz w:val="26"/>
          <w:szCs w:val="26"/>
        </w:rPr>
        <w:t xml:space="preserve"> Жилых помещений,</w:t>
      </w:r>
      <w:r>
        <w:rPr>
          <w:sz w:val="26"/>
          <w:szCs w:val="26"/>
        </w:rPr>
        <w:t xml:space="preserve"> являю</w:t>
      </w:r>
      <w:r w:rsidR="00A04C68">
        <w:rPr>
          <w:sz w:val="26"/>
          <w:szCs w:val="26"/>
        </w:rPr>
        <w:t>щих</w:t>
      </w:r>
      <w:r>
        <w:rPr>
          <w:sz w:val="26"/>
          <w:szCs w:val="26"/>
        </w:rPr>
        <w:t xml:space="preserve">ся </w:t>
      </w:r>
      <w:r w:rsidR="00A04C68">
        <w:rPr>
          <w:sz w:val="26"/>
          <w:szCs w:val="26"/>
        </w:rPr>
        <w:t xml:space="preserve">объектами </w:t>
      </w:r>
      <w:r>
        <w:rPr>
          <w:sz w:val="26"/>
          <w:szCs w:val="26"/>
        </w:rPr>
        <w:t>муниципальной формы собственности</w:t>
      </w:r>
      <w:r w:rsidR="00A04C68">
        <w:rPr>
          <w:sz w:val="26"/>
          <w:szCs w:val="26"/>
        </w:rPr>
        <w:t xml:space="preserve">, </w:t>
      </w:r>
      <w:proofErr w:type="spellStart"/>
      <w:r w:rsidR="00A04C68">
        <w:rPr>
          <w:sz w:val="26"/>
          <w:szCs w:val="26"/>
        </w:rPr>
        <w:t>нет</w:t>
      </w:r>
      <w:proofErr w:type="gramStart"/>
      <w:r>
        <w:rPr>
          <w:sz w:val="26"/>
          <w:szCs w:val="26"/>
        </w:rPr>
        <w:t>.</w:t>
      </w:r>
      <w:r w:rsidR="00965873"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>правляющ</w:t>
      </w:r>
      <w:r w:rsidR="00965873">
        <w:rPr>
          <w:sz w:val="26"/>
          <w:szCs w:val="26"/>
        </w:rPr>
        <w:t>ие</w:t>
      </w:r>
      <w:proofErr w:type="spellEnd"/>
      <w:r>
        <w:rPr>
          <w:sz w:val="26"/>
          <w:szCs w:val="26"/>
        </w:rPr>
        <w:t xml:space="preserve"> организаци</w:t>
      </w:r>
      <w:r w:rsidR="00965873">
        <w:rPr>
          <w:sz w:val="26"/>
          <w:szCs w:val="26"/>
        </w:rPr>
        <w:t>и</w:t>
      </w:r>
      <w:r>
        <w:rPr>
          <w:sz w:val="26"/>
          <w:szCs w:val="26"/>
        </w:rPr>
        <w:t xml:space="preserve"> на основании договоров управления многоквартирными домами</w:t>
      </w:r>
      <w:r w:rsidR="00965873">
        <w:rPr>
          <w:sz w:val="26"/>
          <w:szCs w:val="26"/>
        </w:rPr>
        <w:t xml:space="preserve"> на территории поселения отсутствуют</w:t>
      </w:r>
      <w:r>
        <w:rPr>
          <w:sz w:val="26"/>
          <w:szCs w:val="26"/>
        </w:rPr>
        <w:t>.</w:t>
      </w: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Раздел 2. Цели и задачи реализации программы профилактики</w:t>
      </w:r>
    </w:p>
    <w:p w:rsidR="00866BD1" w:rsidRDefault="00866BD1" w:rsidP="00866BD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66BD1" w:rsidRDefault="00866BD1" w:rsidP="00866BD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2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Основными целями Программы профилактики являются: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6BD1" w:rsidRDefault="00866BD1" w:rsidP="00866B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6BD1" w:rsidRDefault="00866BD1" w:rsidP="00866BD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  <w:lang w:val="ru-RU"/>
        </w:rPr>
        <w:t>Проведение профилактических мероприятий направлено на решение следующих задач:</w:t>
      </w:r>
    </w:p>
    <w:p w:rsidR="00866BD1" w:rsidRDefault="00866BD1" w:rsidP="00866BD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Снижение рисков причинения вреда (ущерба) охраняемым законом ценностям;</w:t>
      </w:r>
    </w:p>
    <w:p w:rsidR="00866BD1" w:rsidRDefault="00866BD1" w:rsidP="00866BD1">
      <w:pPr>
        <w:pStyle w:val="Default"/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Внедрение способов профилактики, установленных Положением о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жилищном контроле; </w:t>
      </w:r>
    </w:p>
    <w:p w:rsidR="00866BD1" w:rsidRDefault="00866BD1" w:rsidP="00866BD1">
      <w:pPr>
        <w:pStyle w:val="Default"/>
        <w:numPr>
          <w:ilvl w:val="0"/>
          <w:numId w:val="2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прозрачности деятельности контрольного органа; </w:t>
      </w:r>
    </w:p>
    <w:p w:rsidR="00866BD1" w:rsidRDefault="00866BD1" w:rsidP="00866BD1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866BD1" w:rsidRDefault="00866BD1" w:rsidP="00866BD1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866BD1" w:rsidRDefault="00866BD1" w:rsidP="00866BD1">
      <w:pPr>
        <w:pStyle w:val="Default"/>
        <w:jc w:val="center"/>
        <w:rPr>
          <w:b/>
          <w:bCs/>
          <w:sz w:val="26"/>
          <w:szCs w:val="26"/>
        </w:rPr>
      </w:pPr>
    </w:p>
    <w:p w:rsidR="00866BD1" w:rsidRDefault="00866BD1" w:rsidP="00866BD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866BD1" w:rsidRDefault="00866BD1" w:rsidP="00866BD1">
      <w:pPr>
        <w:pStyle w:val="Default"/>
        <w:jc w:val="both"/>
        <w:rPr>
          <w:sz w:val="26"/>
          <w:szCs w:val="26"/>
        </w:rPr>
      </w:pPr>
    </w:p>
    <w:p w:rsidR="00866BD1" w:rsidRDefault="00866BD1" w:rsidP="00866BD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88"/>
        <w:gridCol w:w="3971"/>
        <w:gridCol w:w="1985"/>
        <w:gridCol w:w="1844"/>
        <w:gridCol w:w="1492"/>
      </w:tblGrid>
      <w:tr w:rsidR="00866BD1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ru-RU"/>
              </w:rPr>
              <w:t xml:space="preserve">Структурное подразделение,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реализации</w:t>
            </w:r>
            <w:proofErr w:type="spellEnd"/>
          </w:p>
        </w:tc>
      </w:tr>
      <w:tr w:rsidR="00866BD1" w:rsidTr="00866BD1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Cs/>
              </w:rPr>
              <w:t>Информирование</w:t>
            </w:r>
            <w:proofErr w:type="spellEnd"/>
          </w:p>
        </w:tc>
      </w:tr>
      <w:tr w:rsidR="00866BD1" w:rsidRPr="00845E1E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Размещение на официальном сайте и актуализация следующей информации: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</w:tr>
      <w:tr w:rsidR="00866BD1" w:rsidRPr="00845E1E" w:rsidTr="00866BD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1.1.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Актуализация и размещение в сети «Интернет» на официальном сайте администрации Звениговск</w:t>
            </w:r>
            <w:r w:rsidR="00965873"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 xml:space="preserve">йона, странице </w:t>
            </w:r>
            <w:r w:rsidR="00965873"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Черноозе</w:t>
            </w: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рского сельского поселения:</w:t>
            </w:r>
          </w:p>
          <w:p w:rsidR="00866BD1" w:rsidRDefault="00866BD1">
            <w:pPr>
              <w:pStyle w:val="msonormalbullet2gif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:</w:t>
            </w:r>
          </w:p>
          <w:p w:rsidR="00866BD1" w:rsidRDefault="00866BD1">
            <w:pPr>
              <w:pStyle w:val="msonormalbullet2gi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66BD1" w:rsidRDefault="00866BD1">
            <w:pPr>
              <w:pStyle w:val="msonormalbullet2gif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Контрольно-надзорная деятельность</w:t>
            </w:r>
            <w:r>
              <w:rPr>
                <w:rFonts w:ascii="Times New Roman" w:hAnsi="Times New Roman"/>
                <w:iCs/>
                <w:lang w:val="ru-RU"/>
              </w:rPr>
              <w:t xml:space="preserve">» </w:t>
            </w:r>
          </w:p>
        </w:tc>
      </w:tr>
      <w:tr w:rsidR="00866BD1" w:rsidTr="00866BD1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Pr="00A04C68" w:rsidRDefault="00866BD1">
            <w:pPr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msonormalbullet2gif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866BD1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pStyle w:val="msonormalbullet2gif"/>
              <w:jc w:val="both"/>
              <w:rPr>
                <w:i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jc w:val="center"/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0"/>
                <w:szCs w:val="20"/>
                <w:shd w:val="clear" w:color="auto" w:fill="FFFFFF"/>
              </w:rPr>
              <w:t>Не реже 2 раз в год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866BD1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pStyle w:val="msonormalbullet2gif"/>
              <w:tabs>
                <w:tab w:val="left" w:pos="176"/>
              </w:tabs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  <w:lang w:val="ru-RU"/>
              </w:rPr>
              <w:t>2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lastRenderedPageBreak/>
              <w:t>Январь 2022 г.</w:t>
            </w:r>
          </w:p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далее актуализация по мере </w:t>
            </w:r>
            <w:r>
              <w:rPr>
                <w:rFonts w:ascii="Times New Roman" w:hAnsi="Times New Roman"/>
                <w:iCs/>
                <w:lang w:val="ru-RU"/>
              </w:rPr>
              <w:lastRenderedPageBreak/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lastRenderedPageBreak/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1.</w:t>
            </w:r>
            <w:r>
              <w:rPr>
                <w:rFonts w:ascii="Times New Roman" w:hAnsi="Times New Roman"/>
                <w:iCs/>
                <w:lang w:val="ru-RU"/>
              </w:rPr>
              <w:t>3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>
              <w:rPr>
                <w:rFonts w:ascii="Times New Roman" w:eastAsia="Calibri" w:hAnsi="Times New Roman"/>
                <w:lang w:val="ru-RU"/>
              </w:rPr>
              <w:t>видео-конференц-связи</w:t>
            </w:r>
            <w:proofErr w:type="spellEnd"/>
            <w:r>
              <w:rPr>
                <w:rFonts w:ascii="Times New Roman" w:eastAsia="Calibri" w:hAnsi="Times New Roman"/>
                <w:lang w:val="ru-RU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не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позднее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t xml:space="preserve">января </w:t>
            </w:r>
            <w:r>
              <w:rPr>
                <w:rFonts w:ascii="Times New Roman" w:hAnsi="Times New Roman"/>
                <w:iCs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 w:rsidP="00CA5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1.</w:t>
            </w:r>
            <w:r w:rsidR="00CA559A">
              <w:rPr>
                <w:rFonts w:ascii="Times New Roman" w:hAnsi="Times New Roman"/>
                <w:iCs/>
                <w:lang w:val="ru-RU"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ru-RU"/>
              </w:rPr>
              <w:t>Д</w:t>
            </w:r>
            <w:proofErr w:type="spellStart"/>
            <w:r>
              <w:rPr>
                <w:rFonts w:ascii="Times New Roman" w:eastAsia="Calibri" w:hAnsi="Times New Roman"/>
              </w:rPr>
              <w:t>оклады</w:t>
            </w:r>
            <w:proofErr w:type="spellEnd"/>
            <w:r>
              <w:rPr>
                <w:rFonts w:ascii="Times New Roman" w:eastAsia="Calibri" w:hAnsi="Times New Roman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/>
              </w:rPr>
              <w:t>муниципальном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контроле</w:t>
            </w:r>
            <w:proofErr w:type="spellEnd"/>
            <w:r>
              <w:rPr>
                <w:rFonts w:ascii="Times New Roman" w:eastAsia="Calibri" w:hAnsi="Times New Roman"/>
              </w:rPr>
              <w:t>;</w:t>
            </w:r>
          </w:p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</w:rPr>
              <w:t>I</w:t>
            </w:r>
            <w:r>
              <w:rPr>
                <w:rFonts w:ascii="Times New Roman" w:hAnsi="Times New Roman"/>
                <w:iCs/>
                <w:lang w:val="ru-RU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D1" w:rsidRDefault="00866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6BD1" w:rsidTr="00866BD1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bookmarkStart w:id="2" w:name="_Hlk86834522"/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Обобщение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правоприменительной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практики</w:t>
            </w:r>
            <w:proofErr w:type="spellEnd"/>
          </w:p>
        </w:tc>
      </w:tr>
      <w:tr w:rsidR="00866BD1" w:rsidRPr="00845E1E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до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Cs/>
              </w:rPr>
              <w:t>апреля</w:t>
            </w:r>
            <w:proofErr w:type="spellEnd"/>
            <w:r>
              <w:rPr>
                <w:rFonts w:ascii="Times New Roman" w:hAnsi="Times New Roman"/>
                <w:iCs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iCs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Анализ и письменное оформление результатов правоприменительной практики</w:t>
            </w:r>
          </w:p>
        </w:tc>
      </w:tr>
      <w:tr w:rsidR="00866BD1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Публичное обсуждение проекта доклада о правоприменительной практике</w:t>
            </w:r>
          </w:p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до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Cs/>
              </w:rPr>
              <w:t>марта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 2022 </w:t>
            </w:r>
            <w:proofErr w:type="spellStart"/>
            <w:r>
              <w:rPr>
                <w:rFonts w:ascii="Times New Roman" w:hAnsi="Times New Roman"/>
                <w:iCs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D1" w:rsidRDefault="00866BD1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866BD1" w:rsidTr="00866BD1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/>
              </w:rPr>
              <w:t>Объявление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предостережения</w:t>
            </w:r>
            <w:proofErr w:type="spellEnd"/>
          </w:p>
        </w:tc>
      </w:tr>
      <w:tr w:rsidR="00866BD1" w:rsidRPr="00845E1E" w:rsidTr="00866BD1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Выдача контролируемым лицам предостережения </w:t>
            </w:r>
            <w:r>
              <w:rPr>
                <w:rFonts w:ascii="Times New Roman" w:eastAsia="Calibri" w:hAnsi="Times New Roman"/>
                <w:iCs/>
                <w:lang w:val="ru-RU"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постоянно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по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мере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необходимости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Посредством выдачи лично или почтовым отправлением </w:t>
            </w:r>
          </w:p>
        </w:tc>
      </w:tr>
      <w:bookmarkEnd w:id="2"/>
      <w:tr w:rsidR="00866BD1" w:rsidTr="00866BD1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Консультирование</w:t>
            </w:r>
            <w:proofErr w:type="spellEnd"/>
          </w:p>
        </w:tc>
      </w:tr>
      <w:tr w:rsidR="00866BD1" w:rsidRPr="00845E1E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>
              <w:rPr>
                <w:rFonts w:ascii="Times New Roman" w:hAnsi="Times New Roman"/>
                <w:iCs/>
              </w:rPr>
              <w:t>Разъяснение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по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вопросам</w:t>
            </w:r>
            <w:proofErr w:type="spellEnd"/>
            <w:r>
              <w:rPr>
                <w:rFonts w:ascii="Times New Roman" w:hAnsi="Times New Roman"/>
                <w:iCs/>
              </w:rPr>
              <w:t>:</w:t>
            </w:r>
          </w:p>
          <w:p w:rsidR="00866BD1" w:rsidRDefault="00866BD1" w:rsidP="00E95875">
            <w:pPr>
              <w:pStyle w:val="pt-consplusnormal-000024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</w:t>
            </w:r>
            <w:r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866BD1" w:rsidRDefault="00866BD1" w:rsidP="00E95875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866BD1" w:rsidRDefault="00866BD1" w:rsidP="00E95875">
            <w:pPr>
              <w:pStyle w:val="pt-consplusnormal-000012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866BD1" w:rsidRDefault="00866BD1" w:rsidP="00E95875">
            <w:pPr>
              <w:pStyle w:val="a4"/>
              <w:numPr>
                <w:ilvl w:val="0"/>
                <w:numId w:val="3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866BD1" w:rsidTr="00866BD1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/>
                <w:iCs/>
              </w:rPr>
              <w:t>Профилактический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визит</w:t>
            </w:r>
            <w:proofErr w:type="spellEnd"/>
          </w:p>
        </w:tc>
      </w:tr>
      <w:tr w:rsidR="00866BD1" w:rsidRPr="00845E1E" w:rsidTr="00866BD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Профилактический визит к лицам, </w:t>
            </w:r>
            <w:r>
              <w:rPr>
                <w:rFonts w:ascii="Times New Roman" w:eastAsia="Calibri" w:hAnsi="Times New Roman"/>
                <w:lang w:val="ru-RU"/>
              </w:rPr>
              <w:t xml:space="preserve"> приступившим к осуществлению деятельности в контролируемой сфере в 2021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866BD1" w:rsidRDefault="00866BD1" w:rsidP="00866BD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6BD1" w:rsidRDefault="00866BD1" w:rsidP="00866BD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866BD1" w:rsidRDefault="00866BD1" w:rsidP="00866BD1">
      <w:pPr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866BD1" w:rsidTr="00866BD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Величина</w:t>
            </w:r>
            <w:proofErr w:type="spellEnd"/>
          </w:p>
        </w:tc>
      </w:tr>
      <w:tr w:rsidR="00866BD1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866BD1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100 % </w:t>
            </w:r>
          </w:p>
        </w:tc>
      </w:tr>
      <w:tr w:rsidR="00866BD1" w:rsidTr="00866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Количество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проведенных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профилактических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BD1" w:rsidRDefault="00866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запланированных</w:t>
            </w:r>
            <w:proofErr w:type="spellEnd"/>
          </w:p>
        </w:tc>
      </w:tr>
    </w:tbl>
    <w:p w:rsidR="00866BD1" w:rsidRDefault="00866BD1" w:rsidP="00866B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BD1" w:rsidRDefault="00866BD1" w:rsidP="00866BD1">
      <w:pPr>
        <w:jc w:val="center"/>
        <w:rPr>
          <w:rFonts w:ascii="Times New Roman" w:hAnsi="Times New Roman"/>
          <w:lang w:val="ru-RU"/>
        </w:rPr>
      </w:pPr>
    </w:p>
    <w:p w:rsidR="003E1060" w:rsidRDefault="003E1060"/>
    <w:sectPr w:rsidR="003E1060" w:rsidSect="0096587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6BD1"/>
    <w:rsid w:val="002C57C1"/>
    <w:rsid w:val="003E1060"/>
    <w:rsid w:val="00845E1E"/>
    <w:rsid w:val="00866BD1"/>
    <w:rsid w:val="00965873"/>
    <w:rsid w:val="00A04C68"/>
    <w:rsid w:val="00A7483B"/>
    <w:rsid w:val="00AE4B54"/>
    <w:rsid w:val="00CA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66BD1"/>
    <w:rPr>
      <w:szCs w:val="32"/>
    </w:rPr>
  </w:style>
  <w:style w:type="paragraph" w:styleId="a4">
    <w:name w:val="List Paragraph"/>
    <w:basedOn w:val="a"/>
    <w:uiPriority w:val="34"/>
    <w:qFormat/>
    <w:rsid w:val="00866BD1"/>
    <w:pPr>
      <w:ind w:left="720"/>
      <w:contextualSpacing/>
    </w:pPr>
  </w:style>
  <w:style w:type="paragraph" w:customStyle="1" w:styleId="Default">
    <w:name w:val="Default"/>
    <w:rsid w:val="00866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t-consplusnormal-000024">
    <w:name w:val="pt-consplusnormal-000024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s1">
    <w:name w:val="s_1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pt-a0-000004">
    <w:name w:val="pt-a0-000004"/>
    <w:basedOn w:val="a0"/>
    <w:rsid w:val="00866BD1"/>
  </w:style>
  <w:style w:type="paragraph" w:customStyle="1" w:styleId="msonormalbullet2gif">
    <w:name w:val="msonormalbullet2.gif"/>
    <w:basedOn w:val="a"/>
    <w:rsid w:val="00866BD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2022-01-17T16:36:00Z</cp:lastPrinted>
  <dcterms:created xsi:type="dcterms:W3CDTF">2021-12-29T15:24:00Z</dcterms:created>
  <dcterms:modified xsi:type="dcterms:W3CDTF">2022-01-17T16:37:00Z</dcterms:modified>
</cp:coreProperties>
</file>